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5CF" w:rsidRDefault="00DC15CF" w:rsidP="00DC15CF">
      <w:bookmarkStart w:id="0" w:name="_GoBack"/>
      <w:bookmarkEnd w:id="0"/>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rsidR="00DC15CF" w:rsidRDefault="00DC15CF" w:rsidP="00DC15CF"/>
    <w:p w:rsidR="00DC15CF" w:rsidRDefault="00DC15CF" w:rsidP="00DC15CF"/>
    <w:p w:rsidR="00DC15CF" w:rsidRDefault="00DC15CF" w:rsidP="00DC15CF"/>
    <w:p w:rsidR="00DC15CF" w:rsidRPr="006C7E5C" w:rsidRDefault="00DC15CF" w:rsidP="00DC15CF"/>
    <w:p w:rsidR="00DC15CF" w:rsidRDefault="00DC15CF" w:rsidP="00DC15CF">
      <w:pPr>
        <w:pStyle w:val="Heading1"/>
        <w:jc w:val="center"/>
      </w:pPr>
      <w:bookmarkStart w:id="1" w:name="_Toc425844137"/>
      <w:bookmarkStart w:id="2" w:name="_Toc425844210"/>
      <w:r>
        <w:t xml:space="preserve">Annex </w:t>
      </w:r>
      <w:bookmarkEnd w:id="1"/>
      <w:bookmarkEnd w:id="2"/>
      <w:r w:rsidR="00735EDC">
        <w:t>7</w:t>
      </w:r>
    </w:p>
    <w:p w:rsidR="00DC15CF" w:rsidRDefault="00DC15CF" w:rsidP="00361485">
      <w:pPr>
        <w:pStyle w:val="Heading1"/>
        <w:jc w:val="center"/>
      </w:pPr>
      <w:bookmarkStart w:id="3" w:name="_Toc425844138"/>
      <w:bookmarkStart w:id="4" w:name="_Toc425844211"/>
      <w:proofErr w:type="gramStart"/>
      <w:r>
        <w:t>Developing future programme initiatives for North Sea and North West Europe Regions in Rotherham and Bradford.</w:t>
      </w:r>
      <w:bookmarkEnd w:id="3"/>
      <w:bookmarkEnd w:id="4"/>
      <w:proofErr w:type="gramEnd"/>
    </w:p>
    <w:p w:rsidR="00DC15CF" w:rsidRDefault="00DC15CF" w:rsidP="00DC15CF">
      <w:pPr>
        <w:jc w:val="center"/>
      </w:pPr>
    </w:p>
    <w:p w:rsidR="00DC15CF" w:rsidRPr="00396D22" w:rsidRDefault="007459A0" w:rsidP="00DC15CF">
      <w:pPr>
        <w:pStyle w:val="Heading1"/>
        <w:jc w:val="center"/>
      </w:pPr>
      <w:bookmarkStart w:id="5" w:name="_Toc425844139"/>
      <w:bookmarkStart w:id="6" w:name="_Toc425844212"/>
      <w:r>
        <w:t>May</w:t>
      </w:r>
      <w:r w:rsidR="00DC15CF">
        <w:t xml:space="preserve"> 2015</w:t>
      </w:r>
      <w:bookmarkEnd w:id="5"/>
      <w:bookmarkEnd w:id="6"/>
    </w:p>
    <w:p w:rsidR="007459A0" w:rsidRDefault="00DC15CF">
      <w:pPr>
        <w:sectPr w:rsidR="007459A0" w:rsidSect="00DC15CF">
          <w:headerReference w:type="default" r:id="rId9"/>
          <w:footerReference w:type="default" r:id="rId10"/>
          <w:pgSz w:w="16838" w:h="11906" w:orient="landscape"/>
          <w:pgMar w:top="1440" w:right="1440" w:bottom="1440" w:left="1440" w:header="708" w:footer="708" w:gutter="0"/>
          <w:cols w:space="708"/>
          <w:docGrid w:linePitch="360"/>
        </w:sectPr>
      </w:pPr>
      <w:r>
        <w:br w:type="page"/>
      </w:r>
    </w:p>
    <w:p w:rsidR="00DC15CF" w:rsidRDefault="00DC15CF">
      <w:pPr>
        <w:rPr>
          <w:rFonts w:asciiTheme="majorHAnsi" w:eastAsiaTheme="majorEastAsia" w:hAnsiTheme="majorHAnsi" w:cstheme="majorBidi"/>
          <w:b/>
          <w:bCs/>
          <w:color w:val="365F91" w:themeColor="accent1" w:themeShade="BF"/>
          <w:sz w:val="28"/>
          <w:szCs w:val="28"/>
        </w:rPr>
      </w:pPr>
    </w:p>
    <w:p w:rsidR="00DC15CF" w:rsidRDefault="00DC15CF" w:rsidP="00DC15CF">
      <w:r>
        <w:t>Compiled by</w:t>
      </w:r>
    </w:p>
    <w:p w:rsidR="00DC15CF" w:rsidRDefault="00DC15CF" w:rsidP="00DC15CF">
      <w:pPr>
        <w:pStyle w:val="NoSpacing1"/>
      </w:pPr>
      <w:r>
        <w:t>Andrew Newton (Rotherham MBC)</w:t>
      </w:r>
    </w:p>
    <w:p w:rsidR="00DC15CF" w:rsidRPr="00DC15CF" w:rsidRDefault="00DC15CF" w:rsidP="00DC15CF">
      <w:pPr>
        <w:pStyle w:val="NoSpacing"/>
        <w:rPr>
          <w:lang w:val="en-US" w:bidi="en-US"/>
        </w:rPr>
      </w:pPr>
      <w:r>
        <w:rPr>
          <w:lang w:val="en-US" w:bidi="en-US"/>
        </w:rPr>
        <w:t>Tony Poole (City of Bradford MDC)</w:t>
      </w:r>
    </w:p>
    <w:p w:rsidR="00DC15CF" w:rsidRPr="00FB49C5" w:rsidRDefault="00DC15CF" w:rsidP="00DC15CF">
      <w:pPr>
        <w:pStyle w:val="NoSpacing1"/>
      </w:pPr>
      <w:r w:rsidRPr="00FB49C5">
        <w:t xml:space="preserve">John Blanksby </w:t>
      </w:r>
      <w:r>
        <w:t>(Pennine Water Group, University of Sheffield)</w:t>
      </w:r>
    </w:p>
    <w:p w:rsidR="00DC15CF" w:rsidRDefault="00DC15CF">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rPr>
        <w:id w:val="1881750152"/>
        <w:docPartObj>
          <w:docPartGallery w:val="Table of Contents"/>
          <w:docPartUnique/>
        </w:docPartObj>
      </w:sdtPr>
      <w:sdtEndPr>
        <w:rPr>
          <w:noProof/>
        </w:rPr>
      </w:sdtEndPr>
      <w:sdtContent>
        <w:p w:rsidR="0088149B" w:rsidRDefault="0088149B">
          <w:pPr>
            <w:pStyle w:val="TOCHeading"/>
          </w:pPr>
          <w:r>
            <w:t>Contents</w:t>
          </w:r>
        </w:p>
        <w:p w:rsidR="0088149B" w:rsidRDefault="0088149B" w:rsidP="0088149B">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p>
        <w:p w:rsidR="0088149B" w:rsidRDefault="001454B5">
          <w:pPr>
            <w:pStyle w:val="TOC1"/>
            <w:tabs>
              <w:tab w:val="right" w:leader="dot" w:pos="13948"/>
            </w:tabs>
            <w:rPr>
              <w:rFonts w:eastAsiaTheme="minorEastAsia"/>
              <w:noProof/>
              <w:lang w:eastAsia="en-GB"/>
            </w:rPr>
          </w:pPr>
          <w:hyperlink w:anchor="_Toc425844213" w:history="1">
            <w:r w:rsidR="0088149B" w:rsidRPr="00680ED9">
              <w:rPr>
                <w:rStyle w:val="Hyperlink"/>
                <w:noProof/>
              </w:rPr>
              <w:t>Introduction</w:t>
            </w:r>
            <w:r w:rsidR="0088149B">
              <w:rPr>
                <w:noProof/>
                <w:webHidden/>
              </w:rPr>
              <w:tab/>
            </w:r>
            <w:r w:rsidR="0088149B">
              <w:rPr>
                <w:noProof/>
                <w:webHidden/>
              </w:rPr>
              <w:fldChar w:fldCharType="begin"/>
            </w:r>
            <w:r w:rsidR="0088149B">
              <w:rPr>
                <w:noProof/>
                <w:webHidden/>
              </w:rPr>
              <w:instrText xml:space="preserve"> PAGEREF _Toc425844213 \h </w:instrText>
            </w:r>
            <w:r w:rsidR="0088149B">
              <w:rPr>
                <w:noProof/>
                <w:webHidden/>
              </w:rPr>
            </w:r>
            <w:r w:rsidR="0088149B">
              <w:rPr>
                <w:noProof/>
                <w:webHidden/>
              </w:rPr>
              <w:fldChar w:fldCharType="separate"/>
            </w:r>
            <w:r w:rsidR="0088149B">
              <w:rPr>
                <w:noProof/>
                <w:webHidden/>
              </w:rPr>
              <w:t>1</w:t>
            </w:r>
            <w:r w:rsidR="0088149B">
              <w:rPr>
                <w:noProof/>
                <w:webHidden/>
              </w:rPr>
              <w:fldChar w:fldCharType="end"/>
            </w:r>
          </w:hyperlink>
        </w:p>
        <w:p w:rsidR="0088149B" w:rsidRDefault="001454B5">
          <w:pPr>
            <w:pStyle w:val="TOC1"/>
            <w:tabs>
              <w:tab w:val="right" w:leader="dot" w:pos="13948"/>
            </w:tabs>
            <w:rPr>
              <w:rFonts w:eastAsiaTheme="minorEastAsia"/>
              <w:noProof/>
              <w:lang w:eastAsia="en-GB"/>
            </w:rPr>
          </w:pPr>
          <w:hyperlink w:anchor="_Toc425844214" w:history="1">
            <w:r w:rsidR="0088149B" w:rsidRPr="00680ED9">
              <w:rPr>
                <w:rStyle w:val="Hyperlink"/>
                <w:noProof/>
              </w:rPr>
              <w:t>Process</w:t>
            </w:r>
            <w:r w:rsidR="0088149B">
              <w:rPr>
                <w:noProof/>
                <w:webHidden/>
              </w:rPr>
              <w:tab/>
            </w:r>
            <w:r w:rsidR="0088149B">
              <w:rPr>
                <w:noProof/>
                <w:webHidden/>
              </w:rPr>
              <w:fldChar w:fldCharType="begin"/>
            </w:r>
            <w:r w:rsidR="0088149B">
              <w:rPr>
                <w:noProof/>
                <w:webHidden/>
              </w:rPr>
              <w:instrText xml:space="preserve"> PAGEREF _Toc425844214 \h </w:instrText>
            </w:r>
            <w:r w:rsidR="0088149B">
              <w:rPr>
                <w:noProof/>
                <w:webHidden/>
              </w:rPr>
            </w:r>
            <w:r w:rsidR="0088149B">
              <w:rPr>
                <w:noProof/>
                <w:webHidden/>
              </w:rPr>
              <w:fldChar w:fldCharType="separate"/>
            </w:r>
            <w:r w:rsidR="0088149B">
              <w:rPr>
                <w:noProof/>
                <w:webHidden/>
              </w:rPr>
              <w:t>1</w:t>
            </w:r>
            <w:r w:rsidR="0088149B">
              <w:rPr>
                <w:noProof/>
                <w:webHidden/>
              </w:rPr>
              <w:fldChar w:fldCharType="end"/>
            </w:r>
          </w:hyperlink>
        </w:p>
        <w:p w:rsidR="0088149B" w:rsidRDefault="001454B5">
          <w:pPr>
            <w:pStyle w:val="TOC2"/>
            <w:tabs>
              <w:tab w:val="right" w:leader="dot" w:pos="13948"/>
            </w:tabs>
            <w:rPr>
              <w:rFonts w:eastAsiaTheme="minorEastAsia"/>
              <w:noProof/>
              <w:lang w:eastAsia="en-GB"/>
            </w:rPr>
          </w:pPr>
          <w:hyperlink w:anchor="_Toc425844215" w:history="1">
            <w:r w:rsidR="0088149B" w:rsidRPr="00680ED9">
              <w:rPr>
                <w:rStyle w:val="Hyperlink"/>
                <w:noProof/>
              </w:rPr>
              <w:t>Step 1. Identify corporate objectives and align them with projects under development</w:t>
            </w:r>
            <w:r w:rsidR="0088149B">
              <w:rPr>
                <w:noProof/>
                <w:webHidden/>
              </w:rPr>
              <w:tab/>
            </w:r>
            <w:r w:rsidR="0088149B">
              <w:rPr>
                <w:noProof/>
                <w:webHidden/>
              </w:rPr>
              <w:fldChar w:fldCharType="begin"/>
            </w:r>
            <w:r w:rsidR="0088149B">
              <w:rPr>
                <w:noProof/>
                <w:webHidden/>
              </w:rPr>
              <w:instrText xml:space="preserve"> PAGEREF _Toc425844215 \h </w:instrText>
            </w:r>
            <w:r w:rsidR="0088149B">
              <w:rPr>
                <w:noProof/>
                <w:webHidden/>
              </w:rPr>
            </w:r>
            <w:r w:rsidR="0088149B">
              <w:rPr>
                <w:noProof/>
                <w:webHidden/>
              </w:rPr>
              <w:fldChar w:fldCharType="separate"/>
            </w:r>
            <w:r w:rsidR="0088149B">
              <w:rPr>
                <w:noProof/>
                <w:webHidden/>
              </w:rPr>
              <w:t>1</w:t>
            </w:r>
            <w:r w:rsidR="0088149B">
              <w:rPr>
                <w:noProof/>
                <w:webHidden/>
              </w:rPr>
              <w:fldChar w:fldCharType="end"/>
            </w:r>
          </w:hyperlink>
        </w:p>
        <w:p w:rsidR="0088149B" w:rsidRDefault="001454B5">
          <w:pPr>
            <w:pStyle w:val="TOC2"/>
            <w:tabs>
              <w:tab w:val="right" w:leader="dot" w:pos="13948"/>
            </w:tabs>
            <w:rPr>
              <w:rFonts w:eastAsiaTheme="minorEastAsia"/>
              <w:noProof/>
              <w:lang w:eastAsia="en-GB"/>
            </w:rPr>
          </w:pPr>
          <w:hyperlink w:anchor="_Toc425844216" w:history="1">
            <w:r w:rsidR="0088149B" w:rsidRPr="00680ED9">
              <w:rPr>
                <w:rStyle w:val="Hyperlink"/>
                <w:noProof/>
              </w:rPr>
              <w:t>Step 2. Align organisational aims and objectives with those of potential funding bodies</w:t>
            </w:r>
            <w:r w:rsidR="0088149B">
              <w:rPr>
                <w:noProof/>
                <w:webHidden/>
              </w:rPr>
              <w:tab/>
            </w:r>
            <w:r w:rsidR="0088149B">
              <w:rPr>
                <w:noProof/>
                <w:webHidden/>
              </w:rPr>
              <w:fldChar w:fldCharType="begin"/>
            </w:r>
            <w:r w:rsidR="0088149B">
              <w:rPr>
                <w:noProof/>
                <w:webHidden/>
              </w:rPr>
              <w:instrText xml:space="preserve"> PAGEREF _Toc425844216 \h </w:instrText>
            </w:r>
            <w:r w:rsidR="0088149B">
              <w:rPr>
                <w:noProof/>
                <w:webHidden/>
              </w:rPr>
            </w:r>
            <w:r w:rsidR="0088149B">
              <w:rPr>
                <w:noProof/>
                <w:webHidden/>
              </w:rPr>
              <w:fldChar w:fldCharType="separate"/>
            </w:r>
            <w:r w:rsidR="0088149B">
              <w:rPr>
                <w:noProof/>
                <w:webHidden/>
              </w:rPr>
              <w:t>3</w:t>
            </w:r>
            <w:r w:rsidR="0088149B">
              <w:rPr>
                <w:noProof/>
                <w:webHidden/>
              </w:rPr>
              <w:fldChar w:fldCharType="end"/>
            </w:r>
          </w:hyperlink>
        </w:p>
        <w:p w:rsidR="0088149B" w:rsidRDefault="0088149B">
          <w:r>
            <w:rPr>
              <w:b/>
              <w:bCs/>
              <w:noProof/>
            </w:rPr>
            <w:fldChar w:fldCharType="end"/>
          </w:r>
        </w:p>
      </w:sdtContent>
    </w:sdt>
    <w:p w:rsidR="007459A0" w:rsidRDefault="007459A0">
      <w:pPr>
        <w:rPr>
          <w:rFonts w:asciiTheme="majorHAnsi" w:eastAsiaTheme="majorEastAsia" w:hAnsiTheme="majorHAnsi" w:cstheme="majorBidi"/>
          <w:b/>
          <w:bCs/>
          <w:color w:val="365F91" w:themeColor="accent1" w:themeShade="BF"/>
          <w:sz w:val="28"/>
          <w:szCs w:val="28"/>
        </w:rPr>
      </w:pPr>
      <w:r>
        <w:br w:type="page"/>
      </w:r>
    </w:p>
    <w:p w:rsidR="007459A0" w:rsidRDefault="007459A0">
      <w:pPr>
        <w:rPr>
          <w:rFonts w:asciiTheme="majorHAnsi" w:eastAsiaTheme="majorEastAsia" w:hAnsiTheme="majorHAnsi" w:cstheme="majorBidi"/>
          <w:b/>
          <w:bCs/>
          <w:color w:val="365F91" w:themeColor="accent1" w:themeShade="BF"/>
          <w:sz w:val="28"/>
          <w:szCs w:val="28"/>
        </w:rPr>
      </w:pPr>
      <w:r>
        <w:lastRenderedPageBreak/>
        <w:br w:type="page"/>
      </w:r>
    </w:p>
    <w:p w:rsidR="00DC15CF" w:rsidRDefault="00DC15CF" w:rsidP="0006397E">
      <w:pPr>
        <w:pStyle w:val="Heading1"/>
        <w:sectPr w:rsidR="00DC15CF" w:rsidSect="00DC15CF">
          <w:headerReference w:type="default" r:id="rId11"/>
          <w:footerReference w:type="default" r:id="rId12"/>
          <w:pgSz w:w="16838" w:h="11906" w:orient="landscape"/>
          <w:pgMar w:top="1440" w:right="1440" w:bottom="1440" w:left="1440" w:header="708" w:footer="708" w:gutter="0"/>
          <w:cols w:space="708"/>
          <w:docGrid w:linePitch="360"/>
        </w:sectPr>
      </w:pPr>
    </w:p>
    <w:p w:rsidR="0006397E" w:rsidRDefault="0006397E" w:rsidP="007459A0">
      <w:pPr>
        <w:pStyle w:val="Heading1"/>
      </w:pPr>
      <w:bookmarkStart w:id="7" w:name="_Toc425844213"/>
      <w:r>
        <w:lastRenderedPageBreak/>
        <w:t>Introduction</w:t>
      </w:r>
      <w:bookmarkEnd w:id="7"/>
    </w:p>
    <w:p w:rsidR="0006397E" w:rsidRDefault="0006397E" w:rsidP="0006397E">
      <w:r>
        <w:t>A successful Interreg project aligns and balances the aims and objectives of the operational regions with those of the project partners (beneficiaries). In exchange for ERDF funding, the beneficiaries commit themselves to producing transnational outputs that satisfy the priority themes and specific objectives of the operational regions. Project proposals that do not properly align and balance the aims and objectives are unlikely to be funded.</w:t>
      </w:r>
    </w:p>
    <w:p w:rsidR="0006397E" w:rsidRDefault="0006397E" w:rsidP="0006397E">
      <w:r>
        <w:t xml:space="preserve">The following process has been used by Rotherham and Bradford to ensure that this happens. </w:t>
      </w:r>
    </w:p>
    <w:p w:rsidR="0006397E" w:rsidRDefault="0006397E" w:rsidP="007459A0">
      <w:pPr>
        <w:pStyle w:val="Heading1"/>
      </w:pPr>
      <w:bookmarkStart w:id="8" w:name="_Toc425844214"/>
      <w:r w:rsidRPr="007459A0">
        <w:t>Process</w:t>
      </w:r>
      <w:bookmarkEnd w:id="8"/>
    </w:p>
    <w:p w:rsidR="007459A0" w:rsidRPr="007459A0" w:rsidRDefault="007459A0" w:rsidP="007459A0">
      <w:pPr>
        <w:pStyle w:val="Heading2"/>
      </w:pPr>
      <w:bookmarkStart w:id="9" w:name="_Toc425844215"/>
      <w:proofErr w:type="gramStart"/>
      <w:r>
        <w:t>Step 1</w:t>
      </w:r>
      <w:r w:rsidR="0088149B">
        <w:t>.</w:t>
      </w:r>
      <w:proofErr w:type="gramEnd"/>
      <w:r>
        <w:t xml:space="preserve"> Identify corporate objectives and align them with projects under development</w:t>
      </w:r>
      <w:bookmarkEnd w:id="9"/>
    </w:p>
    <w:p w:rsidR="0006397E" w:rsidRDefault="0006397E" w:rsidP="0006397E">
      <w:r>
        <w:t xml:space="preserve">The first step in the process was to understand the corporate objectives of Rotherham and Bradford. Pre-existing summaries of corporate policy and strategy were studied and aligned. Although each authority’s documents were different, it </w:t>
      </w:r>
      <w:r w:rsidR="00EE3ACB">
        <w:t>became obvious that the basic policies and strategies had much in common.</w:t>
      </w:r>
    </w:p>
    <w:p w:rsidR="00EE3ACB" w:rsidRDefault="00EE3ACB" w:rsidP="0006397E">
      <w:r>
        <w:t>Next, the policies and strategies on climate change and the environment were considered, and as with corporate policy and strategy, there was much in common.</w:t>
      </w:r>
    </w:p>
    <w:p w:rsidR="00EE3ACB" w:rsidRDefault="00EE3ACB" w:rsidP="0006397E">
      <w:r>
        <w:lastRenderedPageBreak/>
        <w:t>From this study it was possible to identify a number of categories into which themes could be divided. These are:</w:t>
      </w:r>
    </w:p>
    <w:p w:rsidR="00EE3ACB" w:rsidRDefault="00EE3ACB" w:rsidP="00EE3ACB">
      <w:pPr>
        <w:pStyle w:val="ListParagraph"/>
        <w:numPr>
          <w:ilvl w:val="0"/>
          <w:numId w:val="2"/>
        </w:numPr>
      </w:pPr>
      <w:r w:rsidRPr="00EE3ACB">
        <w:t>Corporate Planning &amp; Policies</w:t>
      </w:r>
    </w:p>
    <w:p w:rsidR="00EE3ACB" w:rsidRDefault="00EE3ACB" w:rsidP="00EE3ACB">
      <w:pPr>
        <w:pStyle w:val="ListParagraph"/>
        <w:numPr>
          <w:ilvl w:val="0"/>
          <w:numId w:val="2"/>
        </w:numPr>
      </w:pPr>
      <w:r w:rsidRPr="00EE3ACB">
        <w:t>Regeneration &amp; Business</w:t>
      </w:r>
    </w:p>
    <w:p w:rsidR="00EE3ACB" w:rsidRDefault="00EE3ACB" w:rsidP="00EE3ACB">
      <w:pPr>
        <w:pStyle w:val="ListParagraph"/>
        <w:numPr>
          <w:ilvl w:val="0"/>
          <w:numId w:val="2"/>
        </w:numPr>
      </w:pPr>
      <w:r w:rsidRPr="00EE3ACB">
        <w:t>The Natural Environment</w:t>
      </w:r>
    </w:p>
    <w:p w:rsidR="00EE3ACB" w:rsidRDefault="00EE3ACB" w:rsidP="00EE3ACB">
      <w:pPr>
        <w:pStyle w:val="ListParagraph"/>
        <w:numPr>
          <w:ilvl w:val="0"/>
          <w:numId w:val="2"/>
        </w:numPr>
      </w:pPr>
      <w:r w:rsidRPr="00EE3ACB">
        <w:t>Flood Alleviation &amp; Water</w:t>
      </w:r>
    </w:p>
    <w:p w:rsidR="00EE3ACB" w:rsidRDefault="00EE3ACB" w:rsidP="00EE3ACB">
      <w:pPr>
        <w:pStyle w:val="ListParagraph"/>
        <w:numPr>
          <w:ilvl w:val="0"/>
          <w:numId w:val="2"/>
        </w:numPr>
      </w:pPr>
      <w:r w:rsidRPr="00EE3ACB">
        <w:t>The Built Environment</w:t>
      </w:r>
    </w:p>
    <w:p w:rsidR="00EE3ACB" w:rsidRDefault="00EE3ACB" w:rsidP="00EE3ACB">
      <w:pPr>
        <w:pStyle w:val="ListParagraph"/>
        <w:numPr>
          <w:ilvl w:val="0"/>
          <w:numId w:val="2"/>
        </w:numPr>
      </w:pPr>
      <w:r w:rsidRPr="00EE3ACB">
        <w:t>Green Energy</w:t>
      </w:r>
    </w:p>
    <w:p w:rsidR="00EE3ACB" w:rsidRDefault="00EE3ACB" w:rsidP="00EE3ACB">
      <w:pPr>
        <w:pStyle w:val="ListParagraph"/>
        <w:numPr>
          <w:ilvl w:val="0"/>
          <w:numId w:val="2"/>
        </w:numPr>
      </w:pPr>
      <w:r w:rsidRPr="00EE3ACB">
        <w:t>Green Transport</w:t>
      </w:r>
    </w:p>
    <w:p w:rsidR="00EE3ACB" w:rsidRDefault="00EE3ACB" w:rsidP="00EE3ACB">
      <w:pPr>
        <w:pStyle w:val="ListParagraph"/>
        <w:numPr>
          <w:ilvl w:val="0"/>
          <w:numId w:val="2"/>
        </w:numPr>
      </w:pPr>
      <w:r w:rsidRPr="00EE3ACB">
        <w:t>Emergency Planning</w:t>
      </w:r>
    </w:p>
    <w:p w:rsidR="00EE3ACB" w:rsidRDefault="00EE3ACB" w:rsidP="00EE3ACB">
      <w:pPr>
        <w:pStyle w:val="ListParagraph"/>
        <w:numPr>
          <w:ilvl w:val="0"/>
          <w:numId w:val="2"/>
        </w:numPr>
      </w:pPr>
      <w:r w:rsidRPr="00EE3ACB">
        <w:t>Waste &amp; Re-cycling</w:t>
      </w:r>
    </w:p>
    <w:p w:rsidR="00EE3ACB" w:rsidRDefault="00EE3ACB" w:rsidP="0006397E">
      <w:r>
        <w:t>Following this each authority identified and produced brief descriptions of a number of themes within each category which were important to them.</w:t>
      </w:r>
    </w:p>
    <w:p w:rsidR="00435A6B" w:rsidRDefault="00EE3ACB" w:rsidP="0006397E">
      <w:pPr>
        <w:sectPr w:rsidR="00435A6B" w:rsidSect="007459A0">
          <w:footerReference w:type="default" r:id="rId13"/>
          <w:pgSz w:w="16838" w:h="11906" w:orient="landscape"/>
          <w:pgMar w:top="1440" w:right="1440" w:bottom="1440" w:left="1440" w:header="708" w:footer="708" w:gutter="0"/>
          <w:pgNumType w:start="1"/>
          <w:cols w:num="2" w:space="708"/>
          <w:docGrid w:linePitch="360"/>
        </w:sectPr>
      </w:pPr>
      <w:r>
        <w:t xml:space="preserve">In parallel to this the two authorities identified a number of projects under development which could be used to demonstrate the </w:t>
      </w:r>
      <w:r w:rsidR="00435A6B">
        <w:t>application of process and tools developed in previous projects as they stood or adapted or enhanced.</w:t>
      </w:r>
      <w:r>
        <w:t xml:space="preserve"> </w:t>
      </w:r>
      <w:r w:rsidR="00435A6B">
        <w:t>The themes and projects were then tabulated. An example of this is provided in Table 1.</w:t>
      </w:r>
    </w:p>
    <w:p w:rsidR="00EE3ACB" w:rsidRDefault="00435A6B" w:rsidP="0006397E">
      <w:r>
        <w:lastRenderedPageBreak/>
        <w:t xml:space="preserve">Table 1: example of tabulated themes and projects </w:t>
      </w:r>
    </w:p>
    <w:tbl>
      <w:tblPr>
        <w:tblW w:w="138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34"/>
        <w:gridCol w:w="2126"/>
        <w:gridCol w:w="4383"/>
        <w:gridCol w:w="2831"/>
        <w:gridCol w:w="1696"/>
      </w:tblGrid>
      <w:tr w:rsidR="00435A6B" w:rsidRPr="00435A6B" w:rsidTr="00435A6B">
        <w:trPr>
          <w:cantSplit/>
          <w:trHeight w:val="300"/>
          <w:tblHeader/>
        </w:trPr>
        <w:tc>
          <w:tcPr>
            <w:tcW w:w="1716" w:type="dxa"/>
            <w:shd w:val="clear" w:color="auto" w:fill="auto"/>
            <w:vAlign w:val="center"/>
            <w:hideMark/>
          </w:tcPr>
          <w:p w:rsidR="00435A6B" w:rsidRPr="00435A6B" w:rsidRDefault="00435A6B" w:rsidP="00435A6B">
            <w:pPr>
              <w:spacing w:after="0" w:line="240" w:lineRule="auto"/>
              <w:jc w:val="center"/>
              <w:rPr>
                <w:rFonts w:ascii="Calibri" w:eastAsia="Times New Roman" w:hAnsi="Calibri" w:cs="Times New Roman"/>
                <w:b/>
                <w:bCs/>
                <w:color w:val="000000"/>
                <w:sz w:val="16"/>
                <w:szCs w:val="16"/>
                <w:lang w:eastAsia="en-GB"/>
              </w:rPr>
            </w:pPr>
            <w:r w:rsidRPr="00435A6B">
              <w:rPr>
                <w:rFonts w:ascii="Calibri" w:eastAsia="Times New Roman" w:hAnsi="Calibri" w:cs="Times New Roman"/>
                <w:b/>
                <w:bCs/>
                <w:color w:val="000000"/>
                <w:sz w:val="16"/>
                <w:szCs w:val="16"/>
                <w:lang w:eastAsia="en-GB"/>
              </w:rPr>
              <w:t>Theme Category</w:t>
            </w:r>
          </w:p>
        </w:tc>
        <w:tc>
          <w:tcPr>
            <w:tcW w:w="1134" w:type="dxa"/>
            <w:shd w:val="clear" w:color="auto" w:fill="auto"/>
            <w:noWrap/>
            <w:vAlign w:val="center"/>
            <w:hideMark/>
          </w:tcPr>
          <w:p w:rsidR="00435A6B" w:rsidRPr="00435A6B" w:rsidRDefault="00435A6B" w:rsidP="00435A6B">
            <w:pPr>
              <w:spacing w:after="0" w:line="240" w:lineRule="auto"/>
              <w:jc w:val="center"/>
              <w:rPr>
                <w:rFonts w:ascii="Calibri" w:eastAsia="Times New Roman" w:hAnsi="Calibri" w:cs="Times New Roman"/>
                <w:b/>
                <w:bCs/>
                <w:color w:val="000000"/>
                <w:sz w:val="16"/>
                <w:szCs w:val="16"/>
                <w:lang w:eastAsia="en-GB"/>
              </w:rPr>
            </w:pPr>
            <w:r w:rsidRPr="00435A6B">
              <w:rPr>
                <w:rFonts w:ascii="Calibri" w:eastAsia="Times New Roman" w:hAnsi="Calibri" w:cs="Times New Roman"/>
                <w:b/>
                <w:bCs/>
                <w:color w:val="000000"/>
                <w:sz w:val="16"/>
                <w:szCs w:val="16"/>
                <w:lang w:eastAsia="en-GB"/>
              </w:rPr>
              <w:t>City</w:t>
            </w:r>
          </w:p>
        </w:tc>
        <w:tc>
          <w:tcPr>
            <w:tcW w:w="2126" w:type="dxa"/>
            <w:shd w:val="clear" w:color="auto" w:fill="auto"/>
            <w:vAlign w:val="center"/>
            <w:hideMark/>
          </w:tcPr>
          <w:p w:rsidR="00435A6B" w:rsidRPr="00435A6B" w:rsidRDefault="00435A6B" w:rsidP="00435A6B">
            <w:pPr>
              <w:spacing w:after="0" w:line="240" w:lineRule="auto"/>
              <w:jc w:val="center"/>
              <w:rPr>
                <w:rFonts w:ascii="Calibri" w:eastAsia="Times New Roman" w:hAnsi="Calibri" w:cs="Times New Roman"/>
                <w:b/>
                <w:bCs/>
                <w:color w:val="000000"/>
                <w:sz w:val="16"/>
                <w:szCs w:val="16"/>
                <w:lang w:eastAsia="en-GB"/>
              </w:rPr>
            </w:pPr>
            <w:r w:rsidRPr="00435A6B">
              <w:rPr>
                <w:rFonts w:ascii="Calibri" w:eastAsia="Times New Roman" w:hAnsi="Calibri" w:cs="Times New Roman"/>
                <w:b/>
                <w:bCs/>
                <w:color w:val="000000"/>
                <w:sz w:val="16"/>
                <w:szCs w:val="16"/>
                <w:lang w:eastAsia="en-GB"/>
              </w:rPr>
              <w:t>Theme Title</w:t>
            </w:r>
          </w:p>
        </w:tc>
        <w:tc>
          <w:tcPr>
            <w:tcW w:w="4383" w:type="dxa"/>
            <w:shd w:val="clear" w:color="auto" w:fill="auto"/>
            <w:vAlign w:val="center"/>
            <w:hideMark/>
          </w:tcPr>
          <w:p w:rsidR="00435A6B" w:rsidRPr="00435A6B" w:rsidRDefault="00435A6B" w:rsidP="00435A6B">
            <w:pPr>
              <w:spacing w:after="0" w:line="240" w:lineRule="auto"/>
              <w:jc w:val="center"/>
              <w:rPr>
                <w:rFonts w:ascii="Calibri" w:eastAsia="Times New Roman" w:hAnsi="Calibri" w:cs="Times New Roman"/>
                <w:b/>
                <w:bCs/>
                <w:color w:val="000000"/>
                <w:sz w:val="16"/>
                <w:szCs w:val="16"/>
                <w:lang w:eastAsia="en-GB"/>
              </w:rPr>
            </w:pPr>
            <w:r w:rsidRPr="00435A6B">
              <w:rPr>
                <w:rFonts w:ascii="Calibri" w:eastAsia="Times New Roman" w:hAnsi="Calibri" w:cs="Times New Roman"/>
                <w:b/>
                <w:bCs/>
                <w:color w:val="000000"/>
                <w:sz w:val="16"/>
                <w:szCs w:val="16"/>
                <w:lang w:eastAsia="en-GB"/>
              </w:rPr>
              <w:t>Theme Description</w:t>
            </w:r>
          </w:p>
        </w:tc>
        <w:tc>
          <w:tcPr>
            <w:tcW w:w="2831" w:type="dxa"/>
            <w:shd w:val="clear" w:color="auto" w:fill="auto"/>
            <w:vAlign w:val="center"/>
            <w:hideMark/>
          </w:tcPr>
          <w:p w:rsidR="00435A6B" w:rsidRPr="00435A6B" w:rsidRDefault="00435A6B" w:rsidP="00435A6B">
            <w:pPr>
              <w:spacing w:after="0" w:line="240" w:lineRule="auto"/>
              <w:jc w:val="center"/>
              <w:rPr>
                <w:rFonts w:ascii="Calibri" w:eastAsia="Times New Roman" w:hAnsi="Calibri" w:cs="Times New Roman"/>
                <w:b/>
                <w:bCs/>
                <w:color w:val="000000"/>
                <w:sz w:val="16"/>
                <w:szCs w:val="16"/>
                <w:lang w:eastAsia="en-GB"/>
              </w:rPr>
            </w:pPr>
            <w:r w:rsidRPr="00435A6B">
              <w:rPr>
                <w:rFonts w:ascii="Calibri" w:eastAsia="Times New Roman" w:hAnsi="Calibri" w:cs="Times New Roman"/>
                <w:b/>
                <w:bCs/>
                <w:color w:val="000000"/>
                <w:sz w:val="16"/>
                <w:szCs w:val="16"/>
                <w:lang w:eastAsia="en-GB"/>
              </w:rPr>
              <w:t>Projects</w:t>
            </w:r>
          </w:p>
        </w:tc>
        <w:tc>
          <w:tcPr>
            <w:tcW w:w="1696" w:type="dxa"/>
            <w:shd w:val="clear" w:color="auto" w:fill="auto"/>
            <w:vAlign w:val="center"/>
            <w:hideMark/>
          </w:tcPr>
          <w:p w:rsidR="00435A6B" w:rsidRPr="00435A6B" w:rsidRDefault="00435A6B" w:rsidP="00435A6B">
            <w:pPr>
              <w:spacing w:after="0" w:line="240" w:lineRule="auto"/>
              <w:jc w:val="center"/>
              <w:rPr>
                <w:rFonts w:ascii="Calibri" w:eastAsia="Times New Roman" w:hAnsi="Calibri" w:cs="Times New Roman"/>
                <w:b/>
                <w:bCs/>
                <w:color w:val="000000"/>
                <w:sz w:val="16"/>
                <w:szCs w:val="16"/>
                <w:lang w:eastAsia="en-GB"/>
              </w:rPr>
            </w:pPr>
            <w:r w:rsidRPr="00435A6B">
              <w:rPr>
                <w:rFonts w:ascii="Calibri" w:eastAsia="Times New Roman" w:hAnsi="Calibri" w:cs="Times New Roman"/>
                <w:b/>
                <w:bCs/>
                <w:color w:val="000000"/>
                <w:sz w:val="16"/>
                <w:szCs w:val="16"/>
                <w:lang w:eastAsia="en-GB"/>
              </w:rPr>
              <w:t>Actions</w:t>
            </w:r>
          </w:p>
        </w:tc>
      </w:tr>
      <w:tr w:rsidR="00435A6B" w:rsidRPr="00435A6B" w:rsidTr="00435A6B">
        <w:trPr>
          <w:trHeight w:val="1125"/>
        </w:trPr>
        <w:tc>
          <w:tcPr>
            <w:tcW w:w="1716" w:type="dxa"/>
            <w:vMerge w:val="restart"/>
            <w:shd w:val="clear" w:color="auto" w:fill="auto"/>
            <w:noWrap/>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r w:rsidRPr="00435A6B">
              <w:rPr>
                <w:rFonts w:ascii="Calibri" w:eastAsia="Times New Roman" w:hAnsi="Calibri" w:cs="Times New Roman"/>
                <w:b/>
                <w:bCs/>
                <w:color w:val="000000"/>
                <w:sz w:val="16"/>
                <w:szCs w:val="16"/>
                <w:lang w:eastAsia="en-GB"/>
              </w:rPr>
              <w:t>1. Corporate Strategic Planning &amp; Policies</w:t>
            </w:r>
          </w:p>
        </w:tc>
        <w:tc>
          <w:tcPr>
            <w:tcW w:w="1134" w:type="dxa"/>
            <w:vMerge w:val="restart"/>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r w:rsidRPr="00435A6B">
              <w:rPr>
                <w:rFonts w:ascii="Calibri" w:eastAsia="Times New Roman" w:hAnsi="Calibri" w:cs="Times New Roman"/>
                <w:b/>
                <w:bCs/>
                <w:color w:val="000000"/>
                <w:sz w:val="16"/>
                <w:szCs w:val="16"/>
                <w:lang w:eastAsia="en-GB"/>
              </w:rPr>
              <w:t>Rotherham</w:t>
            </w:r>
          </w:p>
        </w:tc>
        <w:tc>
          <w:tcPr>
            <w:tcW w:w="212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R1.1. Improved Climate Change Data Collection, Analysis &amp; Evaluation</w:t>
            </w:r>
          </w:p>
        </w:tc>
        <w:tc>
          <w:tcPr>
            <w:tcW w:w="4383"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Supporting the collection of improved access to data &amp; analytical information at the local, regional &amp; trans-national levels to help inform evolving RMBC climate change policies; supporting ongoing funding bids &amp; assessing RMBCs contribution to the wider climate change agenda.</w:t>
            </w:r>
          </w:p>
        </w:tc>
        <w:tc>
          <w:tcPr>
            <w:tcW w:w="2831"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i/>
                <w:iCs/>
                <w:color w:val="000000"/>
                <w:sz w:val="16"/>
                <w:szCs w:val="16"/>
                <w:lang w:eastAsia="en-GB"/>
              </w:rPr>
            </w:pPr>
            <w:r w:rsidRPr="00435A6B">
              <w:rPr>
                <w:rFonts w:ascii="Calibri" w:eastAsia="Times New Roman" w:hAnsi="Calibri" w:cs="Times New Roman"/>
                <w:b/>
                <w:bCs/>
                <w:i/>
                <w:iCs/>
                <w:color w:val="000000"/>
                <w:sz w:val="16"/>
                <w:szCs w:val="16"/>
                <w:lang w:eastAsia="en-GB"/>
              </w:rPr>
              <w:t>A 21st Century Council - Improved Data Collection, Analysis, Assessment &amp; Application (See also 6.1 &amp; 6.2 below)</w:t>
            </w:r>
          </w:p>
        </w:tc>
        <w:tc>
          <w:tcPr>
            <w:tcW w:w="1696" w:type="dxa"/>
            <w:shd w:val="clear" w:color="auto" w:fill="auto"/>
            <w:noWrap/>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w:t>
            </w:r>
          </w:p>
        </w:tc>
      </w:tr>
      <w:tr w:rsidR="00435A6B" w:rsidRPr="00435A6B" w:rsidTr="00435A6B">
        <w:trPr>
          <w:trHeight w:val="675"/>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212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R1.2. Achieving &amp; Maintaining Climate Local Council Status</w:t>
            </w:r>
          </w:p>
        </w:tc>
        <w:tc>
          <w:tcPr>
            <w:tcW w:w="4383"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xml:space="preserve">Identifying RMBCs targets &amp; actions in pursuit of climate change; sharing information with other Local Authorities at the local, regional, </w:t>
            </w:r>
            <w:proofErr w:type="spellStart"/>
            <w:r w:rsidRPr="00435A6B">
              <w:rPr>
                <w:rFonts w:ascii="Calibri" w:eastAsia="Times New Roman" w:hAnsi="Calibri" w:cs="Times New Roman"/>
                <w:color w:val="000000"/>
                <w:sz w:val="16"/>
                <w:szCs w:val="16"/>
                <w:lang w:eastAsia="en-GB"/>
              </w:rPr>
              <w:t>natioinal</w:t>
            </w:r>
            <w:proofErr w:type="spellEnd"/>
            <w:r w:rsidRPr="00435A6B">
              <w:rPr>
                <w:rFonts w:ascii="Calibri" w:eastAsia="Times New Roman" w:hAnsi="Calibri" w:cs="Times New Roman"/>
                <w:color w:val="000000"/>
                <w:sz w:val="16"/>
                <w:szCs w:val="16"/>
                <w:lang w:eastAsia="en-GB"/>
              </w:rPr>
              <w:t xml:space="preserve"> &amp; trans-national levels.</w:t>
            </w:r>
          </w:p>
        </w:tc>
        <w:tc>
          <w:tcPr>
            <w:tcW w:w="2831"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i/>
                <w:iCs/>
                <w:color w:val="000000"/>
                <w:sz w:val="16"/>
                <w:szCs w:val="16"/>
                <w:lang w:eastAsia="en-GB"/>
              </w:rPr>
            </w:pPr>
            <w:r w:rsidRPr="00435A6B">
              <w:rPr>
                <w:rFonts w:ascii="Calibri" w:eastAsia="Times New Roman" w:hAnsi="Calibri" w:cs="Times New Roman"/>
                <w:b/>
                <w:bCs/>
                <w:i/>
                <w:iCs/>
                <w:color w:val="000000"/>
                <w:sz w:val="16"/>
                <w:szCs w:val="16"/>
                <w:lang w:eastAsia="en-GB"/>
              </w:rPr>
              <w:t>Learning &amp; Action Alliances, the Next Step - Contributing to the Climate Local Initiative &amp; Beyond</w:t>
            </w:r>
          </w:p>
        </w:tc>
        <w:tc>
          <w:tcPr>
            <w:tcW w:w="1696" w:type="dxa"/>
            <w:shd w:val="clear" w:color="auto" w:fill="auto"/>
            <w:noWrap/>
            <w:vAlign w:val="bottom"/>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w:t>
            </w:r>
          </w:p>
        </w:tc>
      </w:tr>
      <w:tr w:rsidR="00435A6B" w:rsidRPr="00435A6B" w:rsidTr="00435A6B">
        <w:trPr>
          <w:trHeight w:val="1350"/>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212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R1.3. Legislative &amp; Regulatory Consistencies</w:t>
            </w:r>
          </w:p>
        </w:tc>
        <w:tc>
          <w:tcPr>
            <w:tcW w:w="4383"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xml:space="preserve">Establishing consistency &amp; an orderly structure amongst the various flood alleviation &amp; climate control directives issued </w:t>
            </w:r>
            <w:proofErr w:type="gramStart"/>
            <w:r w:rsidRPr="00435A6B">
              <w:rPr>
                <w:rFonts w:ascii="Calibri" w:eastAsia="Times New Roman" w:hAnsi="Calibri" w:cs="Times New Roman"/>
                <w:color w:val="000000"/>
                <w:sz w:val="16"/>
                <w:szCs w:val="16"/>
                <w:lang w:eastAsia="en-GB"/>
              </w:rPr>
              <w:t>from  the</w:t>
            </w:r>
            <w:proofErr w:type="gramEnd"/>
            <w:r w:rsidRPr="00435A6B">
              <w:rPr>
                <w:rFonts w:ascii="Calibri" w:eastAsia="Times New Roman" w:hAnsi="Calibri" w:cs="Times New Roman"/>
                <w:color w:val="000000"/>
                <w:sz w:val="16"/>
                <w:szCs w:val="16"/>
                <w:lang w:eastAsia="en-GB"/>
              </w:rPr>
              <w:t xml:space="preserve"> EU level downwards since 2000 &amp; ensuring that all legislation is being complied with. Also establishing working relationships with the public, private &amp; voluntary sector agencies involved in </w:t>
            </w:r>
            <w:proofErr w:type="gramStart"/>
            <w:r w:rsidRPr="00435A6B">
              <w:rPr>
                <w:rFonts w:ascii="Calibri" w:eastAsia="Times New Roman" w:hAnsi="Calibri" w:cs="Times New Roman"/>
                <w:color w:val="000000"/>
                <w:sz w:val="16"/>
                <w:szCs w:val="16"/>
                <w:lang w:eastAsia="en-GB"/>
              </w:rPr>
              <w:t>the  Climate</w:t>
            </w:r>
            <w:proofErr w:type="gramEnd"/>
            <w:r w:rsidRPr="00435A6B">
              <w:rPr>
                <w:rFonts w:ascii="Calibri" w:eastAsia="Times New Roman" w:hAnsi="Calibri" w:cs="Times New Roman"/>
                <w:color w:val="000000"/>
                <w:sz w:val="16"/>
                <w:szCs w:val="16"/>
                <w:lang w:eastAsia="en-GB"/>
              </w:rPr>
              <w:t xml:space="preserve"> Change agenda.</w:t>
            </w:r>
          </w:p>
        </w:tc>
        <w:tc>
          <w:tcPr>
            <w:tcW w:w="2831"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i/>
                <w:iCs/>
                <w:color w:val="000000"/>
                <w:sz w:val="16"/>
                <w:szCs w:val="16"/>
                <w:lang w:eastAsia="en-GB"/>
              </w:rPr>
            </w:pPr>
            <w:r w:rsidRPr="00435A6B">
              <w:rPr>
                <w:rFonts w:ascii="Calibri" w:eastAsia="Times New Roman" w:hAnsi="Calibri" w:cs="Times New Roman"/>
                <w:b/>
                <w:bCs/>
                <w:i/>
                <w:iCs/>
                <w:color w:val="000000"/>
                <w:sz w:val="16"/>
                <w:szCs w:val="16"/>
                <w:lang w:eastAsia="en-GB"/>
              </w:rPr>
              <w:t>Establishing a Climate Change Partnership I - Regulation at the Local, Regional, National &amp; Trans-national Levels</w:t>
            </w:r>
          </w:p>
        </w:tc>
        <w:tc>
          <w:tcPr>
            <w:tcW w:w="1696" w:type="dxa"/>
            <w:shd w:val="clear" w:color="auto" w:fill="auto"/>
            <w:noWrap/>
            <w:vAlign w:val="bottom"/>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w:t>
            </w:r>
          </w:p>
        </w:tc>
      </w:tr>
      <w:tr w:rsidR="00435A6B" w:rsidRPr="00435A6B" w:rsidTr="00435A6B">
        <w:trPr>
          <w:trHeight w:val="1125"/>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212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R1.4. Local Development Framework &amp; the Planning System</w:t>
            </w:r>
          </w:p>
        </w:tc>
        <w:tc>
          <w:tcPr>
            <w:tcW w:w="4383"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Ensuring that the emerging Local Development Framework &amp; associated planning policies contain adequate climate change policies such as support for sustainable travel, appropriate environmental considerations &amp; applying climate change considerations to the design of buildings &amp; infrastructure.</w:t>
            </w:r>
          </w:p>
        </w:tc>
        <w:tc>
          <w:tcPr>
            <w:tcW w:w="2831"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i/>
                <w:iCs/>
                <w:color w:val="000000"/>
                <w:sz w:val="16"/>
                <w:szCs w:val="16"/>
                <w:lang w:eastAsia="en-GB"/>
              </w:rPr>
            </w:pPr>
            <w:r w:rsidRPr="00435A6B">
              <w:rPr>
                <w:rFonts w:ascii="Calibri" w:eastAsia="Times New Roman" w:hAnsi="Calibri" w:cs="Times New Roman"/>
                <w:b/>
                <w:bCs/>
                <w:i/>
                <w:iCs/>
                <w:color w:val="000000"/>
                <w:sz w:val="16"/>
                <w:szCs w:val="16"/>
                <w:lang w:eastAsia="en-GB"/>
              </w:rPr>
              <w:t>Sustainable Development via the Local Development Framework &amp; Planning Regulatory System</w:t>
            </w:r>
          </w:p>
        </w:tc>
        <w:tc>
          <w:tcPr>
            <w:tcW w:w="1696" w:type="dxa"/>
            <w:shd w:val="clear" w:color="auto" w:fill="auto"/>
            <w:noWrap/>
            <w:vAlign w:val="bottom"/>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w:t>
            </w:r>
          </w:p>
        </w:tc>
      </w:tr>
      <w:tr w:rsidR="00435A6B" w:rsidRPr="00435A6B" w:rsidTr="00435A6B">
        <w:trPr>
          <w:trHeight w:val="2025"/>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212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R1.5. Developing Partnerships</w:t>
            </w:r>
          </w:p>
        </w:tc>
        <w:tc>
          <w:tcPr>
            <w:tcW w:w="4383"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xml:space="preserve">Developing partnerships at the local, regional, national &amp; trans-national level with other public, private &amp; voluntary sector organisations involved in climate change. RMBC envisages a two-way flow of information with the Council initiating &amp; leading partnerships where its environmental, economic &amp; regulatory interests dictate (forming 'Green Business Clubs', 'Business Improvement Districts', flood protection schemes, </w:t>
            </w:r>
            <w:proofErr w:type="spellStart"/>
            <w:r w:rsidRPr="00435A6B">
              <w:rPr>
                <w:rFonts w:ascii="Calibri" w:eastAsia="Times New Roman" w:hAnsi="Calibri" w:cs="Times New Roman"/>
                <w:color w:val="000000"/>
                <w:sz w:val="16"/>
                <w:szCs w:val="16"/>
                <w:lang w:eastAsia="en-GB"/>
              </w:rPr>
              <w:t>etc</w:t>
            </w:r>
            <w:proofErr w:type="spellEnd"/>
            <w:r w:rsidRPr="00435A6B">
              <w:rPr>
                <w:rFonts w:ascii="Calibri" w:eastAsia="Times New Roman" w:hAnsi="Calibri" w:cs="Times New Roman"/>
                <w:color w:val="000000"/>
                <w:sz w:val="16"/>
                <w:szCs w:val="16"/>
                <w:lang w:eastAsia="en-GB"/>
              </w:rPr>
              <w:t>); or pursuing a more receptive  approach in learning &amp; educational programmes such as those espoused within the Interreg V Programme.</w:t>
            </w:r>
          </w:p>
        </w:tc>
        <w:tc>
          <w:tcPr>
            <w:tcW w:w="2831"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i/>
                <w:iCs/>
                <w:color w:val="000000"/>
                <w:sz w:val="16"/>
                <w:szCs w:val="16"/>
                <w:lang w:eastAsia="en-GB"/>
              </w:rPr>
            </w:pPr>
            <w:r w:rsidRPr="00435A6B">
              <w:rPr>
                <w:rFonts w:ascii="Calibri" w:eastAsia="Times New Roman" w:hAnsi="Calibri" w:cs="Times New Roman"/>
                <w:b/>
                <w:bCs/>
                <w:i/>
                <w:iCs/>
                <w:color w:val="000000"/>
                <w:sz w:val="16"/>
                <w:szCs w:val="16"/>
                <w:lang w:eastAsia="en-GB"/>
              </w:rPr>
              <w:t>Establishing a Climate Change Partnership II - Partnership Roles &amp; Responsibilities</w:t>
            </w:r>
          </w:p>
        </w:tc>
        <w:tc>
          <w:tcPr>
            <w:tcW w:w="1696" w:type="dxa"/>
            <w:shd w:val="clear" w:color="auto" w:fill="auto"/>
            <w:noWrap/>
            <w:vAlign w:val="bottom"/>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w:t>
            </w:r>
          </w:p>
        </w:tc>
      </w:tr>
      <w:tr w:rsidR="00435A6B" w:rsidRPr="00435A6B" w:rsidTr="00435A6B">
        <w:trPr>
          <w:trHeight w:val="900"/>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212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R1.6. Innovative Funding &amp; Resources</w:t>
            </w:r>
          </w:p>
        </w:tc>
        <w:tc>
          <w:tcPr>
            <w:tcW w:w="4383"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By developing a wider range of partnerships with public &amp; private sector stake-holders, the Council hopes to explore new methods of funding &amp; resourcing climate change projects, including their after-care &amp; maintenance.</w:t>
            </w:r>
          </w:p>
        </w:tc>
        <w:tc>
          <w:tcPr>
            <w:tcW w:w="2831"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i/>
                <w:iCs/>
                <w:color w:val="000000"/>
                <w:sz w:val="16"/>
                <w:szCs w:val="16"/>
                <w:lang w:eastAsia="en-GB"/>
              </w:rPr>
            </w:pPr>
            <w:r w:rsidRPr="00435A6B">
              <w:rPr>
                <w:rFonts w:ascii="Calibri" w:eastAsia="Times New Roman" w:hAnsi="Calibri" w:cs="Times New Roman"/>
                <w:b/>
                <w:bCs/>
                <w:i/>
                <w:iCs/>
                <w:color w:val="000000"/>
                <w:sz w:val="16"/>
                <w:szCs w:val="16"/>
                <w:lang w:eastAsia="en-GB"/>
              </w:rPr>
              <w:t>Innovative Funding - Obtaining Funding &amp; Resources in a Constrained Economy</w:t>
            </w:r>
          </w:p>
        </w:tc>
        <w:tc>
          <w:tcPr>
            <w:tcW w:w="1696" w:type="dxa"/>
            <w:shd w:val="clear" w:color="auto" w:fill="auto"/>
            <w:noWrap/>
            <w:vAlign w:val="bottom"/>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w:t>
            </w:r>
          </w:p>
        </w:tc>
      </w:tr>
      <w:tr w:rsidR="00435A6B" w:rsidRPr="00435A6B" w:rsidTr="00435A6B">
        <w:trPr>
          <w:trHeight w:val="1125"/>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2126" w:type="dxa"/>
            <w:shd w:val="clear" w:color="auto" w:fill="auto"/>
            <w:noWrap/>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R1.7. '"Smart Cities"</w:t>
            </w:r>
          </w:p>
        </w:tc>
        <w:tc>
          <w:tcPr>
            <w:tcW w:w="4383"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xml:space="preserve">The introduction of digital technology to support a wide range of civic activities including transport, energy, health care, water &amp; waste; enabling local authorities to engage citizens more closely using mobile phone apps, e-mailing, web page links, </w:t>
            </w:r>
            <w:proofErr w:type="spellStart"/>
            <w:r w:rsidRPr="00435A6B">
              <w:rPr>
                <w:rFonts w:ascii="Calibri" w:eastAsia="Times New Roman" w:hAnsi="Calibri" w:cs="Times New Roman"/>
                <w:color w:val="000000"/>
                <w:sz w:val="16"/>
                <w:szCs w:val="16"/>
                <w:lang w:eastAsia="en-GB"/>
              </w:rPr>
              <w:t>etc</w:t>
            </w:r>
            <w:proofErr w:type="spellEnd"/>
            <w:r w:rsidRPr="00435A6B">
              <w:rPr>
                <w:rFonts w:ascii="Calibri" w:eastAsia="Times New Roman" w:hAnsi="Calibri" w:cs="Times New Roman"/>
                <w:color w:val="000000"/>
                <w:sz w:val="16"/>
                <w:szCs w:val="16"/>
                <w:lang w:eastAsia="en-GB"/>
              </w:rPr>
              <w:t xml:space="preserve">, resulting in the more efficient use of staff time &amp; </w:t>
            </w:r>
            <w:proofErr w:type="spellStart"/>
            <w:r w:rsidRPr="00435A6B">
              <w:rPr>
                <w:rFonts w:ascii="Calibri" w:eastAsia="Times New Roman" w:hAnsi="Calibri" w:cs="Times New Roman"/>
                <w:color w:val="000000"/>
                <w:sz w:val="16"/>
                <w:szCs w:val="16"/>
                <w:lang w:eastAsia="en-GB"/>
              </w:rPr>
              <w:t>rseources</w:t>
            </w:r>
            <w:proofErr w:type="spellEnd"/>
          </w:p>
        </w:tc>
        <w:tc>
          <w:tcPr>
            <w:tcW w:w="2831"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i/>
                <w:iCs/>
                <w:color w:val="000000"/>
                <w:sz w:val="16"/>
                <w:szCs w:val="16"/>
                <w:lang w:eastAsia="en-GB"/>
              </w:rPr>
            </w:pPr>
            <w:r w:rsidRPr="00435A6B">
              <w:rPr>
                <w:rFonts w:ascii="Calibri" w:eastAsia="Times New Roman" w:hAnsi="Calibri" w:cs="Times New Roman"/>
                <w:b/>
                <w:bCs/>
                <w:i/>
                <w:iCs/>
                <w:color w:val="000000"/>
                <w:sz w:val="16"/>
                <w:szCs w:val="16"/>
                <w:lang w:eastAsia="en-GB"/>
              </w:rPr>
              <w:t>Introducing Digital Technology</w:t>
            </w:r>
          </w:p>
        </w:tc>
        <w:tc>
          <w:tcPr>
            <w:tcW w:w="1696" w:type="dxa"/>
            <w:shd w:val="clear" w:color="auto" w:fill="auto"/>
            <w:noWrap/>
            <w:vAlign w:val="bottom"/>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w:t>
            </w:r>
          </w:p>
        </w:tc>
      </w:tr>
      <w:tr w:rsidR="00435A6B" w:rsidRPr="00435A6B" w:rsidTr="00435A6B">
        <w:trPr>
          <w:trHeight w:val="900"/>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212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R1.8. Holistic Approaches to a "Smart City"</w:t>
            </w:r>
          </w:p>
        </w:tc>
        <w:tc>
          <w:tcPr>
            <w:tcW w:w="4383"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color w:val="000000"/>
                <w:sz w:val="16"/>
                <w:szCs w:val="16"/>
                <w:lang w:eastAsia="en-GB"/>
              </w:rPr>
            </w:pPr>
            <w:r w:rsidRPr="00435A6B">
              <w:rPr>
                <w:rFonts w:ascii="Calibri" w:eastAsia="Times New Roman" w:hAnsi="Calibri" w:cs="Times New Roman"/>
                <w:color w:val="000000"/>
                <w:sz w:val="16"/>
                <w:szCs w:val="16"/>
                <w:lang w:eastAsia="en-GB"/>
              </w:rPr>
              <w:t xml:space="preserve">Identifying, developing and deploying replicable, balanced and integrated solutions in the energy, transport, and ICT actions through partnerships between municipalities and industries; utilising low carbon &amp; </w:t>
            </w:r>
            <w:proofErr w:type="spellStart"/>
            <w:r w:rsidRPr="00435A6B">
              <w:rPr>
                <w:rFonts w:ascii="Calibri" w:eastAsia="Times New Roman" w:hAnsi="Calibri" w:cs="Times New Roman"/>
                <w:color w:val="000000"/>
                <w:sz w:val="16"/>
                <w:szCs w:val="16"/>
                <w:lang w:eastAsia="en-GB"/>
              </w:rPr>
              <w:t>renwable</w:t>
            </w:r>
            <w:proofErr w:type="spellEnd"/>
            <w:r w:rsidRPr="00435A6B">
              <w:rPr>
                <w:rFonts w:ascii="Calibri" w:eastAsia="Times New Roman" w:hAnsi="Calibri" w:cs="Times New Roman"/>
                <w:color w:val="000000"/>
                <w:sz w:val="16"/>
                <w:szCs w:val="16"/>
                <w:lang w:eastAsia="en-GB"/>
              </w:rPr>
              <w:t xml:space="preserve"> sources</w:t>
            </w:r>
          </w:p>
        </w:tc>
        <w:tc>
          <w:tcPr>
            <w:tcW w:w="2831"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i/>
                <w:iCs/>
                <w:color w:val="000000"/>
                <w:sz w:val="16"/>
                <w:szCs w:val="16"/>
                <w:lang w:eastAsia="en-GB"/>
              </w:rPr>
            </w:pPr>
            <w:r w:rsidRPr="00435A6B">
              <w:rPr>
                <w:rFonts w:ascii="Calibri" w:eastAsia="Times New Roman" w:hAnsi="Calibri" w:cs="Times New Roman"/>
                <w:b/>
                <w:bCs/>
                <w:i/>
                <w:iCs/>
                <w:color w:val="000000"/>
                <w:sz w:val="16"/>
                <w:szCs w:val="16"/>
                <w:lang w:eastAsia="en-GB"/>
              </w:rPr>
              <w:t>Integrating ICT Solutions</w:t>
            </w:r>
          </w:p>
        </w:tc>
        <w:tc>
          <w:tcPr>
            <w:tcW w:w="169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 </w:t>
            </w:r>
          </w:p>
        </w:tc>
      </w:tr>
      <w:tr w:rsidR="00435A6B" w:rsidRPr="00435A6B" w:rsidTr="00435A6B">
        <w:trPr>
          <w:trHeight w:val="225"/>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val="restart"/>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sz w:val="16"/>
                <w:szCs w:val="16"/>
                <w:lang w:eastAsia="en-GB"/>
              </w:rPr>
            </w:pPr>
            <w:r w:rsidRPr="00435A6B">
              <w:rPr>
                <w:rFonts w:ascii="Calibri" w:eastAsia="Times New Roman" w:hAnsi="Calibri" w:cs="Times New Roman"/>
                <w:b/>
                <w:bCs/>
                <w:sz w:val="16"/>
                <w:szCs w:val="16"/>
                <w:lang w:eastAsia="en-GB"/>
              </w:rPr>
              <w:t>Bradford</w:t>
            </w:r>
          </w:p>
        </w:tc>
        <w:tc>
          <w:tcPr>
            <w:tcW w:w="2126" w:type="dxa"/>
            <w:vMerge w:val="restart"/>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B1.1 Smart Cities</w:t>
            </w:r>
          </w:p>
        </w:tc>
        <w:tc>
          <w:tcPr>
            <w:tcW w:w="4383" w:type="dxa"/>
            <w:vMerge w:val="restart"/>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Developing an effective and efficient 21st Century Council</w:t>
            </w:r>
          </w:p>
        </w:tc>
        <w:tc>
          <w:tcPr>
            <w:tcW w:w="2831"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Real Time information</w:t>
            </w:r>
          </w:p>
        </w:tc>
        <w:tc>
          <w:tcPr>
            <w:tcW w:w="169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 </w:t>
            </w:r>
          </w:p>
        </w:tc>
      </w:tr>
      <w:tr w:rsidR="00435A6B" w:rsidRPr="00435A6B" w:rsidTr="00435A6B">
        <w:trPr>
          <w:trHeight w:val="450"/>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sz w:val="16"/>
                <w:szCs w:val="16"/>
                <w:lang w:eastAsia="en-GB"/>
              </w:rPr>
            </w:pPr>
          </w:p>
        </w:tc>
        <w:tc>
          <w:tcPr>
            <w:tcW w:w="212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4383"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2831"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Speeding Planning process through stakeholder Involvement</w:t>
            </w:r>
          </w:p>
        </w:tc>
        <w:tc>
          <w:tcPr>
            <w:tcW w:w="169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 </w:t>
            </w:r>
          </w:p>
        </w:tc>
      </w:tr>
      <w:tr w:rsidR="00435A6B" w:rsidRPr="00435A6B" w:rsidTr="00435A6B">
        <w:trPr>
          <w:trHeight w:val="675"/>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sz w:val="16"/>
                <w:szCs w:val="16"/>
                <w:lang w:eastAsia="en-GB"/>
              </w:rPr>
            </w:pPr>
          </w:p>
        </w:tc>
        <w:tc>
          <w:tcPr>
            <w:tcW w:w="212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4383"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2831"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Local Plan Core strategy</w:t>
            </w:r>
          </w:p>
        </w:tc>
        <w:tc>
          <w:tcPr>
            <w:tcW w:w="169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Local Plan Site Allocation Evidence Base</w:t>
            </w:r>
          </w:p>
        </w:tc>
      </w:tr>
      <w:tr w:rsidR="00435A6B" w:rsidRPr="00435A6B" w:rsidTr="00435A6B">
        <w:trPr>
          <w:trHeight w:val="225"/>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sz w:val="16"/>
                <w:szCs w:val="16"/>
                <w:lang w:eastAsia="en-GB"/>
              </w:rPr>
            </w:pPr>
          </w:p>
        </w:tc>
        <w:tc>
          <w:tcPr>
            <w:tcW w:w="212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4383"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2831" w:type="dxa"/>
            <w:vMerge w:val="restart"/>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 xml:space="preserve">Partnership in triple and quadruple </w:t>
            </w:r>
            <w:proofErr w:type="spellStart"/>
            <w:r w:rsidRPr="00435A6B">
              <w:rPr>
                <w:rFonts w:ascii="Calibri" w:eastAsia="Times New Roman" w:hAnsi="Calibri" w:cs="Times New Roman"/>
                <w:sz w:val="16"/>
                <w:szCs w:val="16"/>
                <w:lang w:eastAsia="en-GB"/>
              </w:rPr>
              <w:t>helixsupportive</w:t>
            </w:r>
            <w:proofErr w:type="spellEnd"/>
            <w:r w:rsidRPr="00435A6B">
              <w:rPr>
                <w:rFonts w:ascii="Calibri" w:eastAsia="Times New Roman" w:hAnsi="Calibri" w:cs="Times New Roman"/>
                <w:sz w:val="16"/>
                <w:szCs w:val="16"/>
                <w:lang w:eastAsia="en-GB"/>
              </w:rPr>
              <w:t xml:space="preserve">  alliances for the </w:t>
            </w:r>
            <w:proofErr w:type="spellStart"/>
            <w:r w:rsidRPr="00435A6B">
              <w:rPr>
                <w:rFonts w:ascii="Calibri" w:eastAsia="Times New Roman" w:hAnsi="Calibri" w:cs="Times New Roman"/>
                <w:sz w:val="16"/>
                <w:szCs w:val="16"/>
                <w:lang w:eastAsia="en-GB"/>
              </w:rPr>
              <w:t>achievment</w:t>
            </w:r>
            <w:proofErr w:type="spellEnd"/>
            <w:r w:rsidRPr="00435A6B">
              <w:rPr>
                <w:rFonts w:ascii="Calibri" w:eastAsia="Times New Roman" w:hAnsi="Calibri" w:cs="Times New Roman"/>
                <w:sz w:val="16"/>
                <w:szCs w:val="16"/>
                <w:lang w:eastAsia="en-GB"/>
              </w:rPr>
              <w:t xml:space="preserve"> of long term benefits</w:t>
            </w:r>
          </w:p>
        </w:tc>
        <w:tc>
          <w:tcPr>
            <w:tcW w:w="169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Flood Risk Management</w:t>
            </w:r>
          </w:p>
        </w:tc>
      </w:tr>
      <w:tr w:rsidR="00435A6B" w:rsidRPr="00435A6B" w:rsidTr="00435A6B">
        <w:trPr>
          <w:trHeight w:val="225"/>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sz w:val="16"/>
                <w:szCs w:val="16"/>
                <w:lang w:eastAsia="en-GB"/>
              </w:rPr>
            </w:pPr>
          </w:p>
        </w:tc>
        <w:tc>
          <w:tcPr>
            <w:tcW w:w="212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4383"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2831"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169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Place Making</w:t>
            </w:r>
          </w:p>
        </w:tc>
      </w:tr>
      <w:tr w:rsidR="00435A6B" w:rsidRPr="00435A6B" w:rsidTr="00435A6B">
        <w:trPr>
          <w:trHeight w:val="225"/>
        </w:trPr>
        <w:tc>
          <w:tcPr>
            <w:tcW w:w="171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color w:val="000000"/>
                <w:sz w:val="16"/>
                <w:szCs w:val="16"/>
                <w:lang w:eastAsia="en-GB"/>
              </w:rPr>
            </w:pPr>
          </w:p>
        </w:tc>
        <w:tc>
          <w:tcPr>
            <w:tcW w:w="1134"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b/>
                <w:bCs/>
                <w:sz w:val="16"/>
                <w:szCs w:val="16"/>
                <w:lang w:eastAsia="en-GB"/>
              </w:rPr>
            </w:pPr>
          </w:p>
        </w:tc>
        <w:tc>
          <w:tcPr>
            <w:tcW w:w="2126"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4383"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2831" w:type="dxa"/>
            <w:vMerge/>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p>
        </w:tc>
        <w:tc>
          <w:tcPr>
            <w:tcW w:w="1696" w:type="dxa"/>
            <w:shd w:val="clear" w:color="auto" w:fill="auto"/>
            <w:vAlign w:val="center"/>
            <w:hideMark/>
          </w:tcPr>
          <w:p w:rsidR="00435A6B" w:rsidRPr="00435A6B" w:rsidRDefault="00435A6B" w:rsidP="00435A6B">
            <w:pPr>
              <w:spacing w:after="0" w:line="240" w:lineRule="auto"/>
              <w:rPr>
                <w:rFonts w:ascii="Calibri" w:eastAsia="Times New Roman" w:hAnsi="Calibri" w:cs="Times New Roman"/>
                <w:sz w:val="16"/>
                <w:szCs w:val="16"/>
                <w:lang w:eastAsia="en-GB"/>
              </w:rPr>
            </w:pPr>
            <w:r w:rsidRPr="00435A6B">
              <w:rPr>
                <w:rFonts w:ascii="Calibri" w:eastAsia="Times New Roman" w:hAnsi="Calibri" w:cs="Times New Roman"/>
                <w:sz w:val="16"/>
                <w:szCs w:val="16"/>
                <w:lang w:eastAsia="en-GB"/>
              </w:rPr>
              <w:t xml:space="preserve">Governance </w:t>
            </w:r>
          </w:p>
        </w:tc>
      </w:tr>
    </w:tbl>
    <w:p w:rsidR="00435A6B" w:rsidRDefault="00435A6B" w:rsidP="0006397E"/>
    <w:p w:rsidR="007459A0" w:rsidRDefault="0088149B" w:rsidP="007459A0">
      <w:pPr>
        <w:pStyle w:val="Heading2"/>
      </w:pPr>
      <w:bookmarkStart w:id="10" w:name="_Toc425844216"/>
      <w:proofErr w:type="gramStart"/>
      <w:r>
        <w:t>Step 2.</w:t>
      </w:r>
      <w:proofErr w:type="gramEnd"/>
      <w:r>
        <w:t xml:space="preserve"> </w:t>
      </w:r>
      <w:r w:rsidR="007459A0">
        <w:t>Align organisational aims and objectives with those of potential funding bodies</w:t>
      </w:r>
      <w:bookmarkEnd w:id="10"/>
    </w:p>
    <w:p w:rsidR="00435A6B" w:rsidRDefault="00435A6B" w:rsidP="0006397E">
      <w:r>
        <w:t>The next step was to align the aims and objectives of the two local authorities with those of the North Sea and North West Europe Regions.</w:t>
      </w:r>
    </w:p>
    <w:p w:rsidR="00C03DB4" w:rsidRDefault="00C03DB4" w:rsidP="0006397E">
      <w:r>
        <w:t>The priority themes and objectives for each region were identified and the requirement of the North Sea Region for any particular project to sit within one objective was noted. As a result of this each of the two authorities</w:t>
      </w:r>
      <w:r w:rsidR="00CE714C">
        <w:t>’</w:t>
      </w:r>
      <w:r>
        <w:t xml:space="preserve"> themes/projects was assigned to one of the specific regional objectives, with a reserve objective also being identified.</w:t>
      </w:r>
    </w:p>
    <w:p w:rsidR="00C03DB4" w:rsidRDefault="00C03DB4" w:rsidP="0006397E">
      <w:r>
        <w:t>Once this was tabulated, the table was ordered according the specific regional objectives. The Rotherham table for the North Sea Region provides an example of this.</w:t>
      </w:r>
      <w:r w:rsidR="00CE714C">
        <w:t xml:space="preserve"> The ordered table provides the basis for developing narratives for project development which meet the objectives of the local authorities and the funding bodies.</w:t>
      </w:r>
    </w:p>
    <w:p w:rsidR="00115147" w:rsidRDefault="00115147" w:rsidP="0006397E"/>
    <w:p w:rsidR="00C03DB4" w:rsidRDefault="00C03DB4">
      <w:r>
        <w:br w:type="page"/>
      </w:r>
    </w:p>
    <w:tbl>
      <w:tblPr>
        <w:tblW w:w="14474" w:type="dxa"/>
        <w:tblInd w:w="108" w:type="dxa"/>
        <w:tblLayout w:type="fixed"/>
        <w:tblLook w:val="04A0" w:firstRow="1" w:lastRow="0" w:firstColumn="1" w:lastColumn="0" w:noHBand="0" w:noVBand="1"/>
      </w:tblPr>
      <w:tblGrid>
        <w:gridCol w:w="2127"/>
        <w:gridCol w:w="6237"/>
        <w:gridCol w:w="2693"/>
        <w:gridCol w:w="850"/>
        <w:gridCol w:w="284"/>
        <w:gridCol w:w="14"/>
        <w:gridCol w:w="222"/>
        <w:gridCol w:w="79"/>
        <w:gridCol w:w="157"/>
        <w:gridCol w:w="79"/>
        <w:gridCol w:w="158"/>
        <w:gridCol w:w="140"/>
        <w:gridCol w:w="96"/>
        <w:gridCol w:w="140"/>
        <w:gridCol w:w="96"/>
        <w:gridCol w:w="237"/>
        <w:gridCol w:w="30"/>
        <w:gridCol w:w="206"/>
        <w:gridCol w:w="30"/>
        <w:gridCol w:w="206"/>
        <w:gridCol w:w="157"/>
        <w:gridCol w:w="236"/>
      </w:tblGrid>
      <w:tr w:rsidR="002D37B9" w:rsidRPr="00C03DB4" w:rsidTr="002D37B9">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7B9" w:rsidRPr="00C03DB4" w:rsidRDefault="002D37B9" w:rsidP="002D37B9">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lastRenderedPageBreak/>
              <w:t>Priority</w:t>
            </w:r>
          </w:p>
        </w:tc>
        <w:tc>
          <w:tcPr>
            <w:tcW w:w="89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7B9" w:rsidRPr="00C03DB4" w:rsidRDefault="002D37B9" w:rsidP="002D37B9">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Specific objectives</w:t>
            </w:r>
          </w:p>
        </w:tc>
        <w:tc>
          <w:tcPr>
            <w:tcW w:w="850" w:type="dxa"/>
            <w:tcBorders>
              <w:top w:val="nil"/>
              <w:left w:val="nil"/>
              <w:bottom w:val="nil"/>
              <w:right w:val="nil"/>
            </w:tcBorders>
            <w:shd w:val="clear" w:color="auto" w:fill="auto"/>
            <w:noWrap/>
            <w:vAlign w:val="bottom"/>
            <w:hideMark/>
          </w:tcPr>
          <w:p w:rsidR="002D37B9" w:rsidRPr="00C03DB4" w:rsidRDefault="002D37B9"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2D37B9" w:rsidRPr="00C03DB4" w:rsidRDefault="002D37B9" w:rsidP="00C03DB4">
            <w:pPr>
              <w:spacing w:after="0" w:line="240" w:lineRule="auto"/>
              <w:rPr>
                <w:rFonts w:ascii="Calibri" w:eastAsia="Times New Roman" w:hAnsi="Calibri" w:cs="Times New Roman"/>
                <w:color w:val="000000"/>
                <w:lang w:eastAsia="en-GB"/>
              </w:rPr>
            </w:pPr>
          </w:p>
        </w:tc>
        <w:tc>
          <w:tcPr>
            <w:tcW w:w="301" w:type="dxa"/>
            <w:gridSpan w:val="2"/>
            <w:tcBorders>
              <w:top w:val="nil"/>
              <w:left w:val="nil"/>
              <w:bottom w:val="nil"/>
              <w:right w:val="nil"/>
            </w:tcBorders>
            <w:shd w:val="clear" w:color="auto" w:fill="auto"/>
            <w:noWrap/>
            <w:vAlign w:val="bottom"/>
            <w:hideMark/>
          </w:tcPr>
          <w:p w:rsidR="002D37B9" w:rsidRPr="00C03DB4" w:rsidRDefault="002D37B9"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2D37B9" w:rsidRPr="00C03DB4" w:rsidRDefault="002D37B9"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2D37B9" w:rsidRPr="00C03DB4" w:rsidRDefault="002D37B9"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2D37B9" w:rsidRPr="00C03DB4" w:rsidRDefault="002D37B9" w:rsidP="00C03DB4">
            <w:pPr>
              <w:spacing w:after="0" w:line="240" w:lineRule="auto"/>
              <w:rPr>
                <w:rFonts w:ascii="Calibri" w:eastAsia="Times New Roman" w:hAnsi="Calibri" w:cs="Times New Roman"/>
                <w:color w:val="000000"/>
                <w:lang w:eastAsia="en-GB"/>
              </w:rPr>
            </w:pPr>
          </w:p>
        </w:tc>
        <w:tc>
          <w:tcPr>
            <w:tcW w:w="363" w:type="dxa"/>
            <w:gridSpan w:val="3"/>
            <w:tcBorders>
              <w:top w:val="nil"/>
              <w:left w:val="nil"/>
              <w:bottom w:val="nil"/>
              <w:right w:val="nil"/>
            </w:tcBorders>
            <w:shd w:val="clear" w:color="auto" w:fill="auto"/>
            <w:noWrap/>
            <w:vAlign w:val="bottom"/>
            <w:hideMark/>
          </w:tcPr>
          <w:p w:rsidR="002D37B9" w:rsidRPr="00C03DB4" w:rsidRDefault="002D37B9"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2D37B9" w:rsidRPr="00C03DB4" w:rsidRDefault="002D37B9" w:rsidP="00C03DB4">
            <w:pPr>
              <w:spacing w:after="0" w:line="240" w:lineRule="auto"/>
              <w:rPr>
                <w:rFonts w:ascii="Calibri" w:eastAsia="Times New Roman" w:hAnsi="Calibri" w:cs="Times New Roman"/>
                <w:color w:val="000000"/>
                <w:lang w:eastAsia="en-GB"/>
              </w:rPr>
            </w:pPr>
          </w:p>
        </w:tc>
        <w:tc>
          <w:tcPr>
            <w:tcW w:w="363" w:type="dxa"/>
            <w:gridSpan w:val="2"/>
            <w:tcBorders>
              <w:top w:val="nil"/>
              <w:left w:val="nil"/>
              <w:bottom w:val="nil"/>
              <w:right w:val="nil"/>
            </w:tcBorders>
            <w:shd w:val="clear" w:color="auto" w:fill="auto"/>
            <w:noWrap/>
            <w:vAlign w:val="bottom"/>
            <w:hideMark/>
          </w:tcPr>
          <w:p w:rsidR="002D37B9" w:rsidRPr="00C03DB4" w:rsidRDefault="002D37B9" w:rsidP="00C03DB4">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2D37B9" w:rsidRPr="00C03DB4" w:rsidRDefault="002D37B9" w:rsidP="00C03DB4">
            <w:pPr>
              <w:spacing w:after="0" w:line="240" w:lineRule="auto"/>
              <w:rPr>
                <w:rFonts w:ascii="Calibri" w:eastAsia="Times New Roman" w:hAnsi="Calibri" w:cs="Times New Roman"/>
                <w:color w:val="000000"/>
                <w:lang w:eastAsia="en-GB"/>
              </w:rPr>
            </w:pPr>
          </w:p>
        </w:tc>
      </w:tr>
      <w:tr w:rsidR="00C03DB4" w:rsidRPr="00C03DB4" w:rsidTr="002D37B9">
        <w:trPr>
          <w:trHeight w:val="435"/>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1 Thinking Growth: Supporting growth in North Sea Region economies</w:t>
            </w: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a. Develop new or improved knowledge partnerships between businesses, knowledge institutions, public administrations and end users with a view to long-term cooperation (post project) on developing products and services</w:t>
            </w:r>
          </w:p>
        </w:tc>
        <w:tc>
          <w:tcPr>
            <w:tcW w:w="850" w:type="dxa"/>
            <w:tcBorders>
              <w:top w:val="nil"/>
              <w:left w:val="single" w:sz="4" w:space="0" w:color="auto"/>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01"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3"/>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r>
      <w:tr w:rsidR="00C03DB4" w:rsidRPr="00C03DB4" w:rsidTr="002D37B9">
        <w:trPr>
          <w:trHeight w:val="30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b. Enhance regional innovation support capacity to increase long-term innovation levels and support smart specialization strategies</w:t>
            </w:r>
          </w:p>
        </w:tc>
        <w:tc>
          <w:tcPr>
            <w:tcW w:w="850" w:type="dxa"/>
            <w:tcBorders>
              <w:top w:val="nil"/>
              <w:left w:val="single" w:sz="4" w:space="0" w:color="auto"/>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01"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3"/>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r>
      <w:tr w:rsidR="00C03DB4" w:rsidRPr="00C03DB4" w:rsidTr="002D37B9">
        <w:trPr>
          <w:trHeight w:val="30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c. Stimulate the public sector to generate innovation demand and innovative solutions for improving public service delivery</w:t>
            </w:r>
          </w:p>
        </w:tc>
        <w:tc>
          <w:tcPr>
            <w:tcW w:w="850" w:type="dxa"/>
            <w:tcBorders>
              <w:top w:val="nil"/>
              <w:left w:val="single" w:sz="4" w:space="0" w:color="auto"/>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01"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3"/>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r>
      <w:tr w:rsidR="00C03DB4" w:rsidRPr="00C03DB4" w:rsidTr="002D37B9">
        <w:trPr>
          <w:trHeight w:val="465"/>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2 Eco-innovation: Stimulating the green economy</w:t>
            </w: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a. Promote the development and adoption of products, services and processes to accelerate greening of the North Sea Region economy (Formerly 2d)</w:t>
            </w:r>
          </w:p>
        </w:tc>
        <w:tc>
          <w:tcPr>
            <w:tcW w:w="850" w:type="dxa"/>
            <w:tcBorders>
              <w:top w:val="nil"/>
              <w:left w:val="single" w:sz="4" w:space="0" w:color="auto"/>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01"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3"/>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r>
      <w:tr w:rsidR="00C03DB4" w:rsidRPr="00C03DB4" w:rsidTr="002D37B9">
        <w:trPr>
          <w:trHeight w:val="450"/>
        </w:trPr>
        <w:tc>
          <w:tcPr>
            <w:tcW w:w="212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b. Stimulate the adoption of new products, services and processes to reduce the environmental footprint of regions around the North Sea (Formerly 2a)</w:t>
            </w:r>
          </w:p>
        </w:tc>
        <w:tc>
          <w:tcPr>
            <w:tcW w:w="850" w:type="dxa"/>
            <w:tcBorders>
              <w:top w:val="nil"/>
              <w:left w:val="single" w:sz="4" w:space="0" w:color="auto"/>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01"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3"/>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r>
      <w:tr w:rsidR="00C03DB4" w:rsidRPr="00C03DB4" w:rsidTr="002D37B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3 Sustainable North Sea Region: Protecting against climate change and preserving the environment</w:t>
            </w: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a. Demonstrate new and/or improved methods for improving the climate resilience of target sites (Formerly 2b)</w:t>
            </w:r>
          </w:p>
        </w:tc>
        <w:tc>
          <w:tcPr>
            <w:tcW w:w="850" w:type="dxa"/>
            <w:tcBorders>
              <w:top w:val="nil"/>
              <w:left w:val="single" w:sz="4" w:space="0" w:color="auto"/>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01"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3"/>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r>
      <w:tr w:rsidR="00C03DB4" w:rsidRPr="00C03DB4" w:rsidTr="002D37B9">
        <w:trPr>
          <w:trHeight w:val="300"/>
        </w:trPr>
        <w:tc>
          <w:tcPr>
            <w:tcW w:w="212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b. Develop new methods for the long-term sustainable management of North Sea ecosystems (Formerly 2c)</w:t>
            </w:r>
          </w:p>
        </w:tc>
        <w:tc>
          <w:tcPr>
            <w:tcW w:w="850" w:type="dxa"/>
            <w:tcBorders>
              <w:top w:val="nil"/>
              <w:left w:val="single" w:sz="4" w:space="0" w:color="auto"/>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01"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98"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3"/>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363" w:type="dxa"/>
            <w:gridSpan w:val="2"/>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C03DB4" w:rsidRPr="00C03DB4" w:rsidRDefault="00C03DB4" w:rsidP="00C03DB4">
            <w:pPr>
              <w:spacing w:after="0" w:line="240" w:lineRule="auto"/>
              <w:rPr>
                <w:rFonts w:ascii="Calibri" w:eastAsia="Times New Roman" w:hAnsi="Calibri" w:cs="Times New Roman"/>
                <w:color w:val="000000"/>
                <w:lang w:eastAsia="en-GB"/>
              </w:rPr>
            </w:pPr>
          </w:p>
        </w:tc>
      </w:tr>
      <w:tr w:rsidR="00C03DB4" w:rsidRPr="00C03DB4" w:rsidTr="002D37B9">
        <w:trPr>
          <w:gridAfter w:val="2"/>
          <w:wAfter w:w="393" w:type="dxa"/>
          <w:trHeight w:val="435"/>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4 Promoting green transport and mobility</w:t>
            </w: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a. Develop demonstrations of innovative and/or improved transport and logistics solutions with potential to move large volumes of freight away from long-distance road transportation (Formerly 3a)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right"/>
              <w:rPr>
                <w:rFonts w:ascii="Calibri" w:eastAsia="Times New Roman" w:hAnsi="Calibri" w:cs="Times New Roman"/>
                <w:b/>
                <w:bCs/>
                <w:sz w:val="16"/>
                <w:szCs w:val="16"/>
                <w:lang w:eastAsia="en-GB"/>
              </w:rPr>
            </w:pPr>
            <w:r w:rsidRPr="00C03DB4">
              <w:rPr>
                <w:rFonts w:ascii="Calibri" w:eastAsia="Times New Roman" w:hAnsi="Calibri" w:cs="Times New Roman"/>
                <w:b/>
                <w:bCs/>
                <w:sz w:val="16"/>
                <w:szCs w:val="16"/>
                <w:lang w:eastAsia="en-GB"/>
              </w:rPr>
              <w:t>Theme</w:t>
            </w:r>
          </w:p>
        </w:tc>
        <w:tc>
          <w:tcPr>
            <w:tcW w:w="756" w:type="dxa"/>
            <w:gridSpan w:val="5"/>
            <w:tcBorders>
              <w:top w:val="single" w:sz="4" w:space="0" w:color="auto"/>
              <w:left w:val="nil"/>
              <w:bottom w:val="single" w:sz="4" w:space="0" w:color="auto"/>
              <w:right w:val="single" w:sz="4" w:space="0" w:color="000000"/>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1</w:t>
            </w:r>
          </w:p>
        </w:tc>
        <w:tc>
          <w:tcPr>
            <w:tcW w:w="473" w:type="dxa"/>
            <w:gridSpan w:val="4"/>
            <w:tcBorders>
              <w:top w:val="single" w:sz="4" w:space="0" w:color="auto"/>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2</w:t>
            </w:r>
          </w:p>
        </w:tc>
        <w:tc>
          <w:tcPr>
            <w:tcW w:w="473" w:type="dxa"/>
            <w:gridSpan w:val="3"/>
            <w:tcBorders>
              <w:top w:val="single" w:sz="4" w:space="0" w:color="auto"/>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3</w:t>
            </w:r>
          </w:p>
        </w:tc>
        <w:tc>
          <w:tcPr>
            <w:tcW w:w="472" w:type="dxa"/>
            <w:gridSpan w:val="4"/>
            <w:tcBorders>
              <w:top w:val="single" w:sz="4" w:space="0" w:color="auto"/>
              <w:left w:val="nil"/>
              <w:bottom w:val="single" w:sz="4" w:space="0" w:color="auto"/>
              <w:right w:val="single" w:sz="4" w:space="0" w:color="000000"/>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4</w:t>
            </w:r>
          </w:p>
        </w:tc>
      </w:tr>
      <w:tr w:rsidR="00C03DB4" w:rsidRPr="00C03DB4" w:rsidTr="002D37B9">
        <w:trPr>
          <w:gridAfter w:val="2"/>
          <w:wAfter w:w="393" w:type="dxa"/>
          <w:trHeight w:val="300"/>
        </w:trPr>
        <w:tc>
          <w:tcPr>
            <w:tcW w:w="212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b. Stimulate the take-up and application of green transport solutions for regional freight and personal transport (Formerly 3b)</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right"/>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Objective</w:t>
            </w:r>
          </w:p>
        </w:tc>
        <w:tc>
          <w:tcPr>
            <w:tcW w:w="284" w:type="dxa"/>
            <w:tcBorders>
              <w:top w:val="nil"/>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a</w:t>
            </w:r>
          </w:p>
        </w:tc>
        <w:tc>
          <w:tcPr>
            <w:tcW w:w="236" w:type="dxa"/>
            <w:gridSpan w:val="2"/>
            <w:tcBorders>
              <w:top w:val="nil"/>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b</w:t>
            </w:r>
          </w:p>
        </w:tc>
        <w:tc>
          <w:tcPr>
            <w:tcW w:w="236" w:type="dxa"/>
            <w:gridSpan w:val="2"/>
            <w:tcBorders>
              <w:top w:val="nil"/>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c</w:t>
            </w:r>
          </w:p>
        </w:tc>
        <w:tc>
          <w:tcPr>
            <w:tcW w:w="237" w:type="dxa"/>
            <w:gridSpan w:val="2"/>
            <w:tcBorders>
              <w:top w:val="nil"/>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a</w:t>
            </w:r>
          </w:p>
        </w:tc>
        <w:tc>
          <w:tcPr>
            <w:tcW w:w="236" w:type="dxa"/>
            <w:gridSpan w:val="2"/>
            <w:tcBorders>
              <w:top w:val="nil"/>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b</w:t>
            </w:r>
          </w:p>
        </w:tc>
        <w:tc>
          <w:tcPr>
            <w:tcW w:w="236" w:type="dxa"/>
            <w:gridSpan w:val="2"/>
            <w:tcBorders>
              <w:top w:val="nil"/>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a</w:t>
            </w:r>
          </w:p>
        </w:tc>
        <w:tc>
          <w:tcPr>
            <w:tcW w:w="237" w:type="dxa"/>
            <w:tcBorders>
              <w:top w:val="nil"/>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b</w:t>
            </w:r>
          </w:p>
        </w:tc>
        <w:tc>
          <w:tcPr>
            <w:tcW w:w="236" w:type="dxa"/>
            <w:gridSpan w:val="2"/>
            <w:tcBorders>
              <w:top w:val="nil"/>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a</w:t>
            </w:r>
          </w:p>
        </w:tc>
        <w:tc>
          <w:tcPr>
            <w:tcW w:w="236" w:type="dxa"/>
            <w:gridSpan w:val="2"/>
            <w:tcBorders>
              <w:top w:val="nil"/>
              <w:left w:val="nil"/>
              <w:bottom w:val="single" w:sz="4" w:space="0" w:color="auto"/>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b</w:t>
            </w:r>
          </w:p>
        </w:tc>
      </w:tr>
      <w:tr w:rsidR="00C03DB4" w:rsidRPr="00C03DB4" w:rsidTr="002D37B9">
        <w:trPr>
          <w:gridAfter w:val="2"/>
          <w:wAfter w:w="393" w:type="dxa"/>
          <w:trHeight w:val="240"/>
        </w:trPr>
        <w:tc>
          <w:tcPr>
            <w:tcW w:w="2127" w:type="dxa"/>
            <w:tcBorders>
              <w:top w:val="nil"/>
              <w:left w:val="single" w:sz="4" w:space="0" w:color="auto"/>
              <w:bottom w:val="nil"/>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Theme Title</w:t>
            </w:r>
          </w:p>
        </w:tc>
        <w:tc>
          <w:tcPr>
            <w:tcW w:w="6237" w:type="dxa"/>
            <w:tcBorders>
              <w:top w:val="nil"/>
              <w:left w:val="nil"/>
              <w:bottom w:val="nil"/>
              <w:right w:val="single" w:sz="4" w:space="0" w:color="auto"/>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Projects</w:t>
            </w:r>
          </w:p>
        </w:tc>
        <w:tc>
          <w:tcPr>
            <w:tcW w:w="2693" w:type="dxa"/>
            <w:tcBorders>
              <w:top w:val="nil"/>
              <w:left w:val="nil"/>
              <w:bottom w:val="nil"/>
              <w:right w:val="nil"/>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Actions</w:t>
            </w:r>
          </w:p>
        </w:tc>
        <w:tc>
          <w:tcPr>
            <w:tcW w:w="850" w:type="dxa"/>
            <w:tcBorders>
              <w:top w:val="nil"/>
              <w:left w:val="single" w:sz="4" w:space="0" w:color="auto"/>
              <w:bottom w:val="nil"/>
              <w:right w:val="nil"/>
            </w:tcBorders>
            <w:shd w:val="clear" w:color="auto" w:fill="auto"/>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84" w:type="dxa"/>
            <w:tcBorders>
              <w:top w:val="nil"/>
              <w:left w:val="single" w:sz="4" w:space="0" w:color="auto"/>
              <w:bottom w:val="nil"/>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nil"/>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nil"/>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7" w:type="dxa"/>
            <w:gridSpan w:val="2"/>
            <w:tcBorders>
              <w:top w:val="nil"/>
              <w:left w:val="nil"/>
              <w:bottom w:val="nil"/>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nil"/>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nil"/>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7" w:type="dxa"/>
            <w:tcBorders>
              <w:top w:val="nil"/>
              <w:left w:val="nil"/>
              <w:bottom w:val="nil"/>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nil"/>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nil"/>
              <w:right w:val="single" w:sz="4" w:space="0" w:color="auto"/>
            </w:tcBorders>
            <w:shd w:val="clear" w:color="auto" w:fill="auto"/>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450"/>
        </w:trPr>
        <w:tc>
          <w:tcPr>
            <w:tcW w:w="2127" w:type="dxa"/>
            <w:tcBorders>
              <w:top w:val="single" w:sz="8" w:space="0" w:color="auto"/>
              <w:left w:val="single" w:sz="8"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R1.3. Legislative &amp; Regulatory Consistencies</w:t>
            </w:r>
          </w:p>
        </w:tc>
        <w:tc>
          <w:tcPr>
            <w:tcW w:w="6237" w:type="dxa"/>
            <w:tcBorders>
              <w:top w:val="single" w:sz="8" w:space="0" w:color="auto"/>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Establishing a Climate Change Partnership I - Regulation at the Local, Regional, National &amp; Trans-national Levels</w:t>
            </w:r>
          </w:p>
        </w:tc>
        <w:tc>
          <w:tcPr>
            <w:tcW w:w="2693" w:type="dxa"/>
            <w:tcBorders>
              <w:top w:val="single" w:sz="8" w:space="0" w:color="auto"/>
              <w:left w:val="nil"/>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single" w:sz="8" w:space="0" w:color="auto"/>
              <w:left w:val="single" w:sz="4" w:space="0" w:color="auto"/>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single" w:sz="8" w:space="0" w:color="auto"/>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675"/>
        </w:trPr>
        <w:tc>
          <w:tcPr>
            <w:tcW w:w="2127" w:type="dxa"/>
            <w:tcBorders>
              <w:top w:val="nil"/>
              <w:left w:val="single" w:sz="8"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R2.3. Environmental Training, Advice &amp; Information for Educational Establishments</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Creating 'Green Business Clubs' - Environmental Good Practice for Schools &amp; Further Education</w:t>
            </w:r>
          </w:p>
        </w:tc>
        <w:tc>
          <w:tcPr>
            <w:tcW w:w="2693" w:type="dxa"/>
            <w:tcBorders>
              <w:top w:val="nil"/>
              <w:left w:val="nil"/>
              <w:bottom w:val="single" w:sz="4" w:space="0" w:color="auto"/>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850" w:type="dxa"/>
            <w:tcBorders>
              <w:top w:val="nil"/>
              <w:left w:val="single" w:sz="4" w:space="0" w:color="auto"/>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225"/>
        </w:trPr>
        <w:tc>
          <w:tcPr>
            <w:tcW w:w="2127" w:type="dxa"/>
            <w:tcBorders>
              <w:top w:val="nil"/>
              <w:left w:val="single" w:sz="8"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"Smart Cities"</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Introducing Digital Technology</w:t>
            </w:r>
          </w:p>
        </w:tc>
        <w:tc>
          <w:tcPr>
            <w:tcW w:w="2693" w:type="dxa"/>
            <w:tcBorders>
              <w:top w:val="nil"/>
              <w:left w:val="nil"/>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450"/>
        </w:trPr>
        <w:tc>
          <w:tcPr>
            <w:tcW w:w="2127" w:type="dxa"/>
            <w:tcBorders>
              <w:top w:val="nil"/>
              <w:left w:val="single" w:sz="8"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Holistic Approaches to a "Smart City"</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Integrating ICT Solutions</w:t>
            </w:r>
          </w:p>
        </w:tc>
        <w:tc>
          <w:tcPr>
            <w:tcW w:w="2693" w:type="dxa"/>
            <w:tcBorders>
              <w:top w:val="nil"/>
              <w:left w:val="nil"/>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225"/>
        </w:trPr>
        <w:tc>
          <w:tcPr>
            <w:tcW w:w="2127" w:type="dxa"/>
            <w:tcBorders>
              <w:top w:val="nil"/>
              <w:left w:val="single" w:sz="8"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R1.5. Developing Partnerships</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Establishing a Climate Change Partnership II - Partnership Roles &amp; Responsibilities</w:t>
            </w:r>
          </w:p>
        </w:tc>
        <w:tc>
          <w:tcPr>
            <w:tcW w:w="2693" w:type="dxa"/>
            <w:tcBorders>
              <w:top w:val="nil"/>
              <w:left w:val="nil"/>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450"/>
        </w:trPr>
        <w:tc>
          <w:tcPr>
            <w:tcW w:w="2127" w:type="dxa"/>
            <w:tcBorders>
              <w:top w:val="nil"/>
              <w:left w:val="single" w:sz="8"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R1.6. Innovative Funding &amp; Resources</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Innovative Funding - Obtaining Funding &amp; Resources in a Constrained Economy</w:t>
            </w:r>
          </w:p>
        </w:tc>
        <w:tc>
          <w:tcPr>
            <w:tcW w:w="2693" w:type="dxa"/>
            <w:tcBorders>
              <w:top w:val="nil"/>
              <w:left w:val="nil"/>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450"/>
        </w:trPr>
        <w:tc>
          <w:tcPr>
            <w:tcW w:w="2127" w:type="dxa"/>
            <w:vMerge w:val="restart"/>
            <w:tcBorders>
              <w:top w:val="nil"/>
              <w:left w:val="single" w:sz="8" w:space="0" w:color="auto"/>
              <w:bottom w:val="single" w:sz="4" w:space="0" w:color="000000"/>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R4.1.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flood alleviation works</w:t>
            </w:r>
          </w:p>
        </w:tc>
        <w:tc>
          <w:tcPr>
            <w:tcW w:w="6237" w:type="dxa"/>
            <w:vMerge w:val="restart"/>
            <w:tcBorders>
              <w:top w:val="nil"/>
              <w:left w:val="single" w:sz="4" w:space="0" w:color="auto"/>
              <w:bottom w:val="single" w:sz="4" w:space="0" w:color="000000"/>
              <w:right w:val="single" w:sz="4" w:space="0" w:color="auto"/>
            </w:tcBorders>
            <w:shd w:val="clear" w:color="000000" w:fill="FFFF00"/>
            <w:vAlign w:val="center"/>
            <w:hideMark/>
          </w:tcPr>
          <w:p w:rsidR="002D37B9"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River Don Flood Alleviation, Section I Completion (Templeborough to Main Street, Rotherham).                                                                                                                    </w:t>
            </w:r>
          </w:p>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River Don Flood Alleviation, Section II (Main Street to St </w:t>
            </w:r>
            <w:proofErr w:type="spellStart"/>
            <w:r w:rsidRPr="00C03DB4">
              <w:rPr>
                <w:rFonts w:ascii="Calibri" w:eastAsia="Times New Roman" w:hAnsi="Calibri" w:cs="Times New Roman"/>
                <w:color w:val="000000"/>
                <w:sz w:val="16"/>
                <w:szCs w:val="16"/>
                <w:lang w:eastAsia="en-GB"/>
              </w:rPr>
              <w:t>Anns</w:t>
            </w:r>
            <w:proofErr w:type="spellEnd"/>
            <w:r w:rsidRPr="00C03DB4">
              <w:rPr>
                <w:rFonts w:ascii="Calibri" w:eastAsia="Times New Roman" w:hAnsi="Calibri" w:cs="Times New Roman"/>
                <w:color w:val="000000"/>
                <w:sz w:val="16"/>
                <w:szCs w:val="16"/>
                <w:lang w:eastAsia="en-GB"/>
              </w:rPr>
              <w:t xml:space="preserve"> Road, Rotherham).                                                                                                                                                  River Don Flood Alleviation, Section III (St </w:t>
            </w:r>
            <w:proofErr w:type="spellStart"/>
            <w:r w:rsidRPr="00C03DB4">
              <w:rPr>
                <w:rFonts w:ascii="Calibri" w:eastAsia="Times New Roman" w:hAnsi="Calibri" w:cs="Times New Roman"/>
                <w:color w:val="000000"/>
                <w:sz w:val="16"/>
                <w:szCs w:val="16"/>
                <w:lang w:eastAsia="en-GB"/>
              </w:rPr>
              <w:t>Anns</w:t>
            </w:r>
            <w:proofErr w:type="spellEnd"/>
            <w:r w:rsidRPr="00C03DB4">
              <w:rPr>
                <w:rFonts w:ascii="Calibri" w:eastAsia="Times New Roman" w:hAnsi="Calibri" w:cs="Times New Roman"/>
                <w:color w:val="000000"/>
                <w:sz w:val="16"/>
                <w:szCs w:val="16"/>
                <w:lang w:eastAsia="en-GB"/>
              </w:rPr>
              <w:t xml:space="preserve"> Road, Rotherham to Aldwarke).                                                                                                                                                           River Don Flood Alleviation, Section </w:t>
            </w:r>
            <w:proofErr w:type="gramStart"/>
            <w:r w:rsidRPr="00C03DB4">
              <w:rPr>
                <w:rFonts w:ascii="Calibri" w:eastAsia="Times New Roman" w:hAnsi="Calibri" w:cs="Times New Roman"/>
                <w:color w:val="000000"/>
                <w:sz w:val="16"/>
                <w:szCs w:val="16"/>
                <w:lang w:eastAsia="en-GB"/>
              </w:rPr>
              <w:t>IV  (</w:t>
            </w:r>
            <w:proofErr w:type="gramEnd"/>
            <w:r w:rsidRPr="00C03DB4">
              <w:rPr>
                <w:rFonts w:ascii="Calibri" w:eastAsia="Times New Roman" w:hAnsi="Calibri" w:cs="Times New Roman"/>
                <w:color w:val="000000"/>
                <w:sz w:val="16"/>
                <w:szCs w:val="16"/>
                <w:lang w:eastAsia="en-GB"/>
              </w:rPr>
              <w:t xml:space="preserve">Aldwarke to </w:t>
            </w:r>
            <w:proofErr w:type="spellStart"/>
            <w:r w:rsidRPr="00C03DB4">
              <w:rPr>
                <w:rFonts w:ascii="Calibri" w:eastAsia="Times New Roman" w:hAnsi="Calibri" w:cs="Times New Roman"/>
                <w:color w:val="000000"/>
                <w:sz w:val="16"/>
                <w:szCs w:val="16"/>
                <w:lang w:eastAsia="en-GB"/>
              </w:rPr>
              <w:t>Kilnhurst</w:t>
            </w:r>
            <w:proofErr w:type="spellEnd"/>
            <w:r w:rsidRPr="00C03DB4">
              <w:rPr>
                <w:rFonts w:ascii="Calibri" w:eastAsia="Times New Roman" w:hAnsi="Calibri" w:cs="Times New Roman"/>
                <w:color w:val="000000"/>
                <w:sz w:val="16"/>
                <w:szCs w:val="16"/>
                <w:lang w:eastAsia="en-GB"/>
              </w:rPr>
              <w:t>).</w:t>
            </w:r>
          </w:p>
        </w:tc>
        <w:tc>
          <w:tcPr>
            <w:tcW w:w="2693" w:type="dxa"/>
            <w:tcBorders>
              <w:top w:val="nil"/>
              <w:left w:val="nil"/>
              <w:bottom w:val="single" w:sz="4" w:space="0" w:color="auto"/>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Appropriate Public Access, Leisure &amp; Recreational Usage</w:t>
            </w:r>
          </w:p>
        </w:tc>
        <w:tc>
          <w:tcPr>
            <w:tcW w:w="850" w:type="dxa"/>
            <w:tcBorders>
              <w:top w:val="nil"/>
              <w:left w:val="single" w:sz="4" w:space="0" w:color="auto"/>
              <w:bottom w:val="single" w:sz="4" w:space="0" w:color="auto"/>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450"/>
        </w:trPr>
        <w:tc>
          <w:tcPr>
            <w:tcW w:w="2127" w:type="dxa"/>
            <w:vMerge/>
            <w:tcBorders>
              <w:top w:val="nil"/>
              <w:left w:val="single" w:sz="8" w:space="0" w:color="auto"/>
              <w:bottom w:val="single" w:sz="4" w:space="0" w:color="auto"/>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auto"/>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Multi-agency Stewardship, After-Care &amp; Maintenance</w:t>
            </w:r>
          </w:p>
        </w:tc>
        <w:tc>
          <w:tcPr>
            <w:tcW w:w="850" w:type="dxa"/>
            <w:tcBorders>
              <w:top w:val="nil"/>
              <w:left w:val="nil"/>
              <w:bottom w:val="single" w:sz="4" w:space="0" w:color="auto"/>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7" w:type="dxa"/>
            <w:tcBorders>
              <w:top w:val="nil"/>
              <w:left w:val="nil"/>
              <w:bottom w:val="single" w:sz="4" w:space="0" w:color="auto"/>
              <w:right w:val="nil"/>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2D37B9" w:rsidRPr="00C03DB4" w:rsidTr="002D37B9">
        <w:trPr>
          <w:gridAfter w:val="2"/>
          <w:wAfter w:w="393" w:type="dxa"/>
          <w:trHeight w:val="450"/>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C03DB4" w:rsidRPr="00C03DB4" w:rsidRDefault="00C03DB4" w:rsidP="002D37B9">
            <w:pPr>
              <w:spacing w:after="0" w:line="240" w:lineRule="auto"/>
              <w:rPr>
                <w:rFonts w:ascii="Calibri" w:eastAsia="Times New Roman" w:hAnsi="Calibri" w:cs="Times New Roman"/>
                <w:color w:val="000000"/>
                <w:lang w:eastAsia="en-GB"/>
              </w:rPr>
            </w:pPr>
            <w:r w:rsidRPr="002D37B9">
              <w:rPr>
                <w:rFonts w:ascii="Calibri" w:eastAsia="Times New Roman" w:hAnsi="Calibri" w:cs="Times New Roman"/>
                <w:color w:val="000000"/>
                <w:sz w:val="16"/>
                <w:szCs w:val="16"/>
                <w:lang w:eastAsia="en-GB"/>
              </w:rPr>
              <w:t xml:space="preserve">R4.2. Maximising </w:t>
            </w:r>
            <w:r w:rsidR="002D37B9" w:rsidRPr="002D37B9">
              <w:rPr>
                <w:rFonts w:ascii="Calibri" w:eastAsia="Times New Roman" w:hAnsi="Calibri" w:cs="Times New Roman"/>
                <w:color w:val="000000"/>
                <w:sz w:val="16"/>
                <w:szCs w:val="16"/>
                <w:lang w:eastAsia="en-GB"/>
              </w:rPr>
              <w:t>benefits</w:t>
            </w:r>
            <w:r w:rsidRPr="002D37B9">
              <w:rPr>
                <w:rFonts w:ascii="Calibri" w:eastAsia="Times New Roman" w:hAnsi="Calibri" w:cs="Times New Roman"/>
                <w:color w:val="000000"/>
                <w:sz w:val="16"/>
                <w:szCs w:val="16"/>
                <w:lang w:eastAsia="en-GB"/>
              </w:rPr>
              <w:t xml:space="preserve"> and </w:t>
            </w:r>
            <w:r w:rsidR="002D37B9" w:rsidRPr="002D37B9">
              <w:rPr>
                <w:rFonts w:ascii="Calibri" w:eastAsia="Times New Roman" w:hAnsi="Calibri" w:cs="Times New Roman"/>
                <w:color w:val="000000"/>
                <w:sz w:val="16"/>
                <w:szCs w:val="16"/>
                <w:lang w:eastAsia="en-GB"/>
              </w:rPr>
              <w:t>minimising</w:t>
            </w:r>
            <w:r w:rsidRPr="002D37B9">
              <w:rPr>
                <w:rFonts w:ascii="Calibri" w:eastAsia="Times New Roman" w:hAnsi="Calibri" w:cs="Times New Roman"/>
                <w:color w:val="000000"/>
                <w:sz w:val="16"/>
                <w:szCs w:val="16"/>
                <w:lang w:eastAsia="en-GB"/>
              </w:rPr>
              <w:t xml:space="preserve"> resource use associated with canal improvement and regeneration works</w:t>
            </w:r>
          </w:p>
        </w:tc>
        <w:tc>
          <w:tcPr>
            <w:tcW w:w="6237"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South Yorkshire Canal improvement and regeneration</w:t>
            </w:r>
          </w:p>
        </w:tc>
        <w:tc>
          <w:tcPr>
            <w:tcW w:w="269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Appropriate Public Access, Leisure &amp; Recreational Usage</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2D37B9" w:rsidRPr="00C03DB4" w:rsidTr="002D37B9">
        <w:trPr>
          <w:gridAfter w:val="2"/>
          <w:wAfter w:w="393" w:type="dxa"/>
          <w:trHeight w:val="450"/>
        </w:trPr>
        <w:tc>
          <w:tcPr>
            <w:tcW w:w="2127" w:type="dxa"/>
            <w:vMerge/>
            <w:tcBorders>
              <w:top w:val="single" w:sz="4" w:space="0" w:color="auto"/>
              <w:left w:val="single" w:sz="4" w:space="0" w:color="auto"/>
              <w:bottom w:val="single" w:sz="4" w:space="0" w:color="auto"/>
              <w:right w:val="nil"/>
            </w:tcBorders>
            <w:shd w:val="clear" w:color="auto" w:fill="FFFF00"/>
            <w:vAlign w:val="center"/>
            <w:hideMark/>
          </w:tcPr>
          <w:p w:rsidR="00C03DB4" w:rsidRPr="00C03DB4" w:rsidRDefault="00C03DB4" w:rsidP="00C03DB4">
            <w:pPr>
              <w:spacing w:after="0" w:line="240" w:lineRule="auto"/>
              <w:rPr>
                <w:rFonts w:ascii="Calibri" w:eastAsia="Times New Roman" w:hAnsi="Calibri" w:cs="Times New Roman"/>
                <w:color w:val="000000"/>
                <w:lang w:eastAsia="en-GB"/>
              </w:rPr>
            </w:pPr>
          </w:p>
        </w:tc>
        <w:tc>
          <w:tcPr>
            <w:tcW w:w="6237" w:type="dxa"/>
            <w:vMerge/>
            <w:tcBorders>
              <w:top w:val="single" w:sz="4" w:space="0" w:color="auto"/>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single" w:sz="4" w:space="0" w:color="auto"/>
              <w:left w:val="nil"/>
              <w:bottom w:val="single" w:sz="4" w:space="0" w:color="auto"/>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Multi-agency Stewardship, After-Care &amp; Maintenance</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single" w:sz="4"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7" w:type="dxa"/>
            <w:tcBorders>
              <w:top w:val="single" w:sz="4"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4" w:space="0" w:color="auto"/>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450"/>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lastRenderedPageBreak/>
              <w:t xml:space="preserve">R4.3.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canal improvement, regeneration and restoration works</w:t>
            </w:r>
          </w:p>
        </w:tc>
        <w:tc>
          <w:tcPr>
            <w:tcW w:w="6237" w:type="dxa"/>
            <w:vMerge w:val="restart"/>
            <w:tcBorders>
              <w:top w:val="nil"/>
              <w:left w:val="single" w:sz="4" w:space="0" w:color="auto"/>
              <w:bottom w:val="single" w:sz="4" w:space="0" w:color="000000"/>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Chesterfield Canal Re-opening</w:t>
            </w: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Appropriate Public Access, Leisure &amp; Recreational Usage</w:t>
            </w:r>
          </w:p>
        </w:tc>
        <w:tc>
          <w:tcPr>
            <w:tcW w:w="850" w:type="dxa"/>
            <w:tcBorders>
              <w:top w:val="nil"/>
              <w:left w:val="nil"/>
              <w:bottom w:val="nil"/>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nil"/>
              <w:right w:val="nil"/>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45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Multi-agency Stewardship, After-Care &amp; Maintenance</w:t>
            </w:r>
          </w:p>
        </w:tc>
        <w:tc>
          <w:tcPr>
            <w:tcW w:w="850" w:type="dxa"/>
            <w:tcBorders>
              <w:top w:val="single" w:sz="4" w:space="0" w:color="auto"/>
              <w:left w:val="single" w:sz="4" w:space="0" w:color="auto"/>
              <w:bottom w:val="single" w:sz="4" w:space="0" w:color="auto"/>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single" w:sz="4"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480"/>
        </w:trPr>
        <w:tc>
          <w:tcPr>
            <w:tcW w:w="2127" w:type="dxa"/>
            <w:vMerge w:val="restart"/>
            <w:tcBorders>
              <w:top w:val="single" w:sz="4" w:space="0" w:color="auto"/>
              <w:left w:val="single" w:sz="8" w:space="0" w:color="auto"/>
              <w:bottom w:val="single" w:sz="4" w:space="0" w:color="000000"/>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R4.4. River flow</w:t>
            </w:r>
            <w:r w:rsidR="002D37B9">
              <w:rPr>
                <w:rFonts w:ascii="Calibri" w:eastAsia="Times New Roman" w:hAnsi="Calibri" w:cs="Times New Roman"/>
                <w:color w:val="000000"/>
                <w:sz w:val="16"/>
                <w:szCs w:val="16"/>
                <w:lang w:eastAsia="en-GB"/>
              </w:rPr>
              <w:t xml:space="preserve"> </w:t>
            </w:r>
            <w:r w:rsidRPr="00C03DB4">
              <w:rPr>
                <w:rFonts w:ascii="Calibri" w:eastAsia="Times New Roman" w:hAnsi="Calibri" w:cs="Times New Roman"/>
                <w:color w:val="000000"/>
                <w:sz w:val="16"/>
                <w:szCs w:val="16"/>
                <w:lang w:eastAsia="en-GB"/>
              </w:rPr>
              <w:t>management and navigation</w:t>
            </w:r>
          </w:p>
        </w:tc>
        <w:tc>
          <w:tcPr>
            <w:tcW w:w="6237" w:type="dxa"/>
            <w:vMerge w:val="restart"/>
            <w:tcBorders>
              <w:top w:val="nil"/>
              <w:left w:val="single" w:sz="4" w:space="0" w:color="auto"/>
              <w:bottom w:val="single" w:sz="4" w:space="0" w:color="000000"/>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River Rother and Rother "Link"</w:t>
            </w:r>
          </w:p>
        </w:tc>
        <w:tc>
          <w:tcPr>
            <w:tcW w:w="2693" w:type="dxa"/>
            <w:tcBorders>
              <w:top w:val="nil"/>
              <w:left w:val="nil"/>
              <w:bottom w:val="single" w:sz="4" w:space="0" w:color="auto"/>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Appropriate Public Access, Leisure &amp; Recreational Usage</w:t>
            </w:r>
          </w:p>
        </w:tc>
        <w:tc>
          <w:tcPr>
            <w:tcW w:w="850" w:type="dxa"/>
            <w:tcBorders>
              <w:top w:val="nil"/>
              <w:left w:val="single" w:sz="4" w:space="0" w:color="auto"/>
              <w:bottom w:val="single" w:sz="4" w:space="0" w:color="auto"/>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480"/>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Multi-agency Stewardship, After-Care &amp; Maintenance</w:t>
            </w:r>
          </w:p>
        </w:tc>
        <w:tc>
          <w:tcPr>
            <w:tcW w:w="850" w:type="dxa"/>
            <w:tcBorders>
              <w:top w:val="nil"/>
              <w:left w:val="single" w:sz="4" w:space="0" w:color="auto"/>
              <w:bottom w:val="single" w:sz="4" w:space="0" w:color="auto"/>
              <w:right w:val="nil"/>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225"/>
        </w:trPr>
        <w:tc>
          <w:tcPr>
            <w:tcW w:w="2127" w:type="dxa"/>
            <w:tcBorders>
              <w:top w:val="nil"/>
              <w:left w:val="single" w:sz="8"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R8.1. Emergency Planning</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Climate Responsive Emergency Planning</w:t>
            </w:r>
          </w:p>
        </w:tc>
        <w:tc>
          <w:tcPr>
            <w:tcW w:w="2693" w:type="dxa"/>
            <w:tcBorders>
              <w:top w:val="nil"/>
              <w:left w:val="nil"/>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single" w:sz="4"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240"/>
        </w:trPr>
        <w:tc>
          <w:tcPr>
            <w:tcW w:w="2127" w:type="dxa"/>
            <w:tcBorders>
              <w:top w:val="nil"/>
              <w:left w:val="single" w:sz="8" w:space="0" w:color="auto"/>
              <w:bottom w:val="single" w:sz="8" w:space="0" w:color="auto"/>
              <w:right w:val="single" w:sz="4" w:space="0" w:color="auto"/>
            </w:tcBorders>
            <w:shd w:val="clear" w:color="000000" w:fill="FFFF00"/>
            <w:noWrap/>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R8.2. Community Resilience</w:t>
            </w:r>
          </w:p>
        </w:tc>
        <w:tc>
          <w:tcPr>
            <w:tcW w:w="6237" w:type="dxa"/>
            <w:tcBorders>
              <w:top w:val="nil"/>
              <w:left w:val="nil"/>
              <w:bottom w:val="single" w:sz="8"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Developing Community Resilience</w:t>
            </w:r>
          </w:p>
        </w:tc>
        <w:tc>
          <w:tcPr>
            <w:tcW w:w="2693" w:type="dxa"/>
            <w:tcBorders>
              <w:top w:val="nil"/>
              <w:left w:val="nil"/>
              <w:bottom w:val="single" w:sz="8"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single" w:sz="8" w:space="0" w:color="auto"/>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single" w:sz="8"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8"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8"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8"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8"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8"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7" w:type="dxa"/>
            <w:tcBorders>
              <w:top w:val="nil"/>
              <w:left w:val="nil"/>
              <w:bottom w:val="single" w:sz="8"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8"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8"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450"/>
        </w:trPr>
        <w:tc>
          <w:tcPr>
            <w:tcW w:w="2127" w:type="dxa"/>
            <w:tcBorders>
              <w:top w:val="nil"/>
              <w:left w:val="single" w:sz="8" w:space="0" w:color="auto"/>
              <w:bottom w:val="nil"/>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R1.2. Achieving &amp; Maintaining Climate Local Council Status</w:t>
            </w:r>
          </w:p>
        </w:tc>
        <w:tc>
          <w:tcPr>
            <w:tcW w:w="6237" w:type="dxa"/>
            <w:tcBorders>
              <w:top w:val="nil"/>
              <w:left w:val="nil"/>
              <w:bottom w:val="nil"/>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Learning &amp; Action Alliances, the Next Step - Contributing to the Climate Local Initiative &amp; Beyond</w:t>
            </w:r>
          </w:p>
        </w:tc>
        <w:tc>
          <w:tcPr>
            <w:tcW w:w="2693" w:type="dxa"/>
            <w:tcBorders>
              <w:top w:val="nil"/>
              <w:left w:val="nil"/>
              <w:bottom w:val="single" w:sz="4" w:space="0" w:color="auto"/>
              <w:right w:val="nil"/>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single" w:sz="4" w:space="0" w:color="auto"/>
              <w:right w:val="nil"/>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450"/>
        </w:trPr>
        <w:tc>
          <w:tcPr>
            <w:tcW w:w="2127" w:type="dxa"/>
            <w:tcBorders>
              <w:top w:val="single" w:sz="4" w:space="0" w:color="auto"/>
              <w:left w:val="single" w:sz="8" w:space="0" w:color="auto"/>
              <w:bottom w:val="nil"/>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R1.4. Local Development Framework &amp; the Planning System</w:t>
            </w:r>
          </w:p>
        </w:tc>
        <w:tc>
          <w:tcPr>
            <w:tcW w:w="6237" w:type="dxa"/>
            <w:tcBorders>
              <w:top w:val="single" w:sz="4" w:space="0" w:color="auto"/>
              <w:left w:val="nil"/>
              <w:bottom w:val="nil"/>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Sustainable Development via the Local Development Framework &amp; Planning Regulatory System</w:t>
            </w:r>
          </w:p>
        </w:tc>
        <w:tc>
          <w:tcPr>
            <w:tcW w:w="2693" w:type="dxa"/>
            <w:tcBorders>
              <w:top w:val="nil"/>
              <w:left w:val="nil"/>
              <w:bottom w:val="single" w:sz="4" w:space="0" w:color="auto"/>
              <w:right w:val="nil"/>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single" w:sz="4" w:space="0" w:color="auto"/>
              <w:right w:val="nil"/>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225"/>
        </w:trPr>
        <w:tc>
          <w:tcPr>
            <w:tcW w:w="2127" w:type="dxa"/>
            <w:tcBorders>
              <w:top w:val="single" w:sz="4" w:space="0" w:color="auto"/>
              <w:left w:val="single" w:sz="8" w:space="0" w:color="auto"/>
              <w:bottom w:val="nil"/>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R9.1. The Waste Hierarchy</w:t>
            </w:r>
          </w:p>
        </w:tc>
        <w:tc>
          <w:tcPr>
            <w:tcW w:w="6237" w:type="dxa"/>
            <w:tcBorders>
              <w:top w:val="single" w:sz="4" w:space="0" w:color="auto"/>
              <w:left w:val="nil"/>
              <w:bottom w:val="nil"/>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Developing a Waste Hierarchy</w:t>
            </w:r>
          </w:p>
        </w:tc>
        <w:tc>
          <w:tcPr>
            <w:tcW w:w="2693" w:type="dxa"/>
            <w:tcBorders>
              <w:top w:val="nil"/>
              <w:left w:val="nil"/>
              <w:bottom w:val="single" w:sz="4" w:space="0" w:color="auto"/>
              <w:right w:val="nil"/>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single" w:sz="4" w:space="0" w:color="auto"/>
              <w:right w:val="nil"/>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225"/>
        </w:trPr>
        <w:tc>
          <w:tcPr>
            <w:tcW w:w="2127" w:type="dxa"/>
            <w:tcBorders>
              <w:top w:val="single" w:sz="4" w:space="0" w:color="auto"/>
              <w:left w:val="single" w:sz="8" w:space="0" w:color="auto"/>
              <w:bottom w:val="nil"/>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R9.2. Recycling in the Public Sector</w:t>
            </w:r>
          </w:p>
        </w:tc>
        <w:tc>
          <w:tcPr>
            <w:tcW w:w="6237" w:type="dxa"/>
            <w:tcBorders>
              <w:top w:val="single" w:sz="4" w:space="0" w:color="auto"/>
              <w:left w:val="nil"/>
              <w:bottom w:val="nil"/>
              <w:right w:val="single" w:sz="4" w:space="0" w:color="auto"/>
            </w:tcBorders>
            <w:shd w:val="clear" w:color="000000" w:fill="00FF00"/>
            <w:noWrap/>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Public Waste Recycling</w:t>
            </w:r>
          </w:p>
        </w:tc>
        <w:tc>
          <w:tcPr>
            <w:tcW w:w="2693" w:type="dxa"/>
            <w:tcBorders>
              <w:top w:val="nil"/>
              <w:left w:val="nil"/>
              <w:bottom w:val="single" w:sz="4" w:space="0" w:color="auto"/>
              <w:right w:val="nil"/>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single" w:sz="4" w:space="0" w:color="auto"/>
              <w:right w:val="nil"/>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240"/>
        </w:trPr>
        <w:tc>
          <w:tcPr>
            <w:tcW w:w="2127" w:type="dxa"/>
            <w:tcBorders>
              <w:top w:val="single" w:sz="4" w:space="0" w:color="auto"/>
              <w:left w:val="single" w:sz="8" w:space="0" w:color="auto"/>
              <w:bottom w:val="nil"/>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R9.3. ICT Waste Management</w:t>
            </w:r>
          </w:p>
        </w:tc>
        <w:tc>
          <w:tcPr>
            <w:tcW w:w="6237" w:type="dxa"/>
            <w:tcBorders>
              <w:top w:val="single" w:sz="4" w:space="0" w:color="auto"/>
              <w:left w:val="nil"/>
              <w:bottom w:val="nil"/>
              <w:right w:val="single" w:sz="4" w:space="0" w:color="auto"/>
            </w:tcBorders>
            <w:shd w:val="clear" w:color="000000" w:fill="00FF00"/>
            <w:noWrap/>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Managing ICT Waste</w:t>
            </w:r>
          </w:p>
        </w:tc>
        <w:tc>
          <w:tcPr>
            <w:tcW w:w="2693" w:type="dxa"/>
            <w:tcBorders>
              <w:top w:val="nil"/>
              <w:left w:val="nil"/>
              <w:bottom w:val="nil"/>
              <w:right w:val="nil"/>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nil"/>
              <w:right w:val="nil"/>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nil"/>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nil"/>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nil"/>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nil"/>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nil"/>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nil"/>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nil"/>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nil"/>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nil"/>
              <w:right w:val="single" w:sz="8"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675"/>
        </w:trPr>
        <w:tc>
          <w:tcPr>
            <w:tcW w:w="2127" w:type="dxa"/>
            <w:tcBorders>
              <w:top w:val="single" w:sz="8" w:space="0" w:color="auto"/>
              <w:left w:val="single" w:sz="8" w:space="0" w:color="auto"/>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R1.1. Improved Climate Change Data Collection, Analysis &amp; Evaluation</w:t>
            </w:r>
          </w:p>
        </w:tc>
        <w:tc>
          <w:tcPr>
            <w:tcW w:w="6237" w:type="dxa"/>
            <w:tcBorders>
              <w:top w:val="single" w:sz="8" w:space="0" w:color="auto"/>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A 21st Century Council - Improved Data Collection, Analysis, Assessment &amp; Application (See also 6.1 &amp; 6.2 below)</w:t>
            </w:r>
          </w:p>
        </w:tc>
        <w:tc>
          <w:tcPr>
            <w:tcW w:w="2693" w:type="dxa"/>
            <w:tcBorders>
              <w:top w:val="single" w:sz="8" w:space="0" w:color="auto"/>
              <w:left w:val="nil"/>
              <w:bottom w:val="single" w:sz="4" w:space="0" w:color="auto"/>
              <w:right w:val="single" w:sz="4" w:space="0" w:color="auto"/>
            </w:tcBorders>
            <w:shd w:val="clear" w:color="000000" w:fill="00B0F0"/>
            <w:noWrap/>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single" w:sz="8" w:space="0" w:color="auto"/>
              <w:left w:val="nil"/>
              <w:bottom w:val="single" w:sz="4" w:space="0" w:color="auto"/>
              <w:right w:val="single" w:sz="4" w:space="0" w:color="auto"/>
            </w:tcBorders>
            <w:shd w:val="clear" w:color="000000" w:fill="00B0F0"/>
            <w:noWrap/>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single" w:sz="8"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single" w:sz="8"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7" w:type="dxa"/>
            <w:gridSpan w:val="2"/>
            <w:tcBorders>
              <w:top w:val="single" w:sz="8"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tcBorders>
              <w:top w:val="single" w:sz="8"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single" w:sz="8" w:space="0" w:color="auto"/>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225"/>
        </w:trPr>
        <w:tc>
          <w:tcPr>
            <w:tcW w:w="2127" w:type="dxa"/>
            <w:tcBorders>
              <w:top w:val="nil"/>
              <w:left w:val="single" w:sz="8" w:space="0" w:color="auto"/>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R1.7. '"Smart Cities"</w:t>
            </w:r>
          </w:p>
        </w:tc>
        <w:tc>
          <w:tcPr>
            <w:tcW w:w="6237"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Introducing Digital Technology</w:t>
            </w:r>
          </w:p>
        </w:tc>
        <w:tc>
          <w:tcPr>
            <w:tcW w:w="2693"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465"/>
        </w:trPr>
        <w:tc>
          <w:tcPr>
            <w:tcW w:w="2127" w:type="dxa"/>
            <w:tcBorders>
              <w:top w:val="nil"/>
              <w:left w:val="single" w:sz="8" w:space="0" w:color="auto"/>
              <w:bottom w:val="single" w:sz="8"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R1.8. Holistic Approaches to a "Smart City"</w:t>
            </w:r>
          </w:p>
        </w:tc>
        <w:tc>
          <w:tcPr>
            <w:tcW w:w="6237" w:type="dxa"/>
            <w:tcBorders>
              <w:top w:val="nil"/>
              <w:left w:val="nil"/>
              <w:bottom w:val="single" w:sz="8"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Integrating ICT Solutions</w:t>
            </w:r>
          </w:p>
        </w:tc>
        <w:tc>
          <w:tcPr>
            <w:tcW w:w="2693" w:type="dxa"/>
            <w:tcBorders>
              <w:top w:val="nil"/>
              <w:left w:val="nil"/>
              <w:bottom w:val="single" w:sz="8"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850" w:type="dxa"/>
            <w:tcBorders>
              <w:top w:val="nil"/>
              <w:left w:val="nil"/>
              <w:bottom w:val="single" w:sz="8"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8"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465"/>
        </w:trPr>
        <w:tc>
          <w:tcPr>
            <w:tcW w:w="2127" w:type="dxa"/>
            <w:tcBorders>
              <w:top w:val="nil"/>
              <w:left w:val="single" w:sz="8" w:space="0" w:color="auto"/>
              <w:bottom w:val="nil"/>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R6.3. Adopting &amp; promoting renewable energy</w:t>
            </w:r>
          </w:p>
        </w:tc>
        <w:tc>
          <w:tcPr>
            <w:tcW w:w="6237" w:type="dxa"/>
            <w:tcBorders>
              <w:top w:val="nil"/>
              <w:left w:val="nil"/>
              <w:bottom w:val="nil"/>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Supporting Renewable Energy Opportunities</w:t>
            </w:r>
          </w:p>
        </w:tc>
        <w:tc>
          <w:tcPr>
            <w:tcW w:w="2693" w:type="dxa"/>
            <w:tcBorders>
              <w:top w:val="nil"/>
              <w:left w:val="nil"/>
              <w:bottom w:val="nil"/>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single" w:sz="4" w:space="0" w:color="auto"/>
              <w:bottom w:val="nil"/>
              <w:right w:val="nil"/>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single" w:sz="4" w:space="0" w:color="auto"/>
              <w:bottom w:val="nil"/>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nil"/>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nil"/>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nil"/>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nil"/>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nil"/>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nil"/>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nil"/>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nil"/>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675"/>
        </w:trPr>
        <w:tc>
          <w:tcPr>
            <w:tcW w:w="2127" w:type="dxa"/>
            <w:tcBorders>
              <w:top w:val="single" w:sz="8" w:space="0" w:color="auto"/>
              <w:left w:val="single" w:sz="8" w:space="0" w:color="auto"/>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R2.2. Environmental Training, Advice &amp; Information for Businesses</w:t>
            </w:r>
          </w:p>
        </w:tc>
        <w:tc>
          <w:tcPr>
            <w:tcW w:w="6237" w:type="dxa"/>
            <w:tcBorders>
              <w:top w:val="single" w:sz="8" w:space="0" w:color="auto"/>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Creating 'Green Business Clubs' - Environmental Good Practice for Businesses</w:t>
            </w:r>
          </w:p>
        </w:tc>
        <w:tc>
          <w:tcPr>
            <w:tcW w:w="2693" w:type="dxa"/>
            <w:tcBorders>
              <w:top w:val="single" w:sz="8" w:space="0" w:color="auto"/>
              <w:left w:val="nil"/>
              <w:bottom w:val="single" w:sz="4" w:space="0" w:color="auto"/>
              <w:right w:val="single" w:sz="4" w:space="0" w:color="auto"/>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single" w:sz="8" w:space="0" w:color="auto"/>
              <w:left w:val="nil"/>
              <w:bottom w:val="single" w:sz="4" w:space="0" w:color="auto"/>
              <w:right w:val="single" w:sz="4" w:space="0" w:color="auto"/>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single" w:sz="8"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single" w:sz="8"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single" w:sz="8"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single" w:sz="8"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8" w:space="0" w:color="auto"/>
              <w:left w:val="nil"/>
              <w:bottom w:val="single" w:sz="4" w:space="0" w:color="auto"/>
              <w:right w:val="single" w:sz="8"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900"/>
        </w:trPr>
        <w:tc>
          <w:tcPr>
            <w:tcW w:w="2127" w:type="dxa"/>
            <w:tcBorders>
              <w:top w:val="nil"/>
              <w:left w:val="single" w:sz="8" w:space="0" w:color="auto"/>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R4.1.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flood alleviation works</w:t>
            </w:r>
          </w:p>
        </w:tc>
        <w:tc>
          <w:tcPr>
            <w:tcW w:w="6237" w:type="dxa"/>
            <w:tcBorders>
              <w:top w:val="nil"/>
              <w:left w:val="nil"/>
              <w:bottom w:val="single" w:sz="4" w:space="0" w:color="auto"/>
              <w:right w:val="single" w:sz="4" w:space="0" w:color="auto"/>
            </w:tcBorders>
            <w:shd w:val="clear" w:color="000000" w:fill="00FF00"/>
            <w:vAlign w:val="center"/>
            <w:hideMark/>
          </w:tcPr>
          <w:p w:rsidR="002D37B9"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River Don Flood Alleviation, Section I Completion (Templeborough to Main Street, Rotherham).                                                                                                                    </w:t>
            </w:r>
          </w:p>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River Don Flood Alleviation, Section II (Main Street to St </w:t>
            </w:r>
            <w:proofErr w:type="spellStart"/>
            <w:r w:rsidRPr="00C03DB4">
              <w:rPr>
                <w:rFonts w:ascii="Calibri" w:eastAsia="Times New Roman" w:hAnsi="Calibri" w:cs="Times New Roman"/>
                <w:color w:val="000000"/>
                <w:sz w:val="16"/>
                <w:szCs w:val="16"/>
                <w:lang w:eastAsia="en-GB"/>
              </w:rPr>
              <w:t>Anns</w:t>
            </w:r>
            <w:proofErr w:type="spellEnd"/>
            <w:r w:rsidRPr="00C03DB4">
              <w:rPr>
                <w:rFonts w:ascii="Calibri" w:eastAsia="Times New Roman" w:hAnsi="Calibri" w:cs="Times New Roman"/>
                <w:color w:val="000000"/>
                <w:sz w:val="16"/>
                <w:szCs w:val="16"/>
                <w:lang w:eastAsia="en-GB"/>
              </w:rPr>
              <w:t xml:space="preserve"> Road, Rotherham).                                                                                                                                                  River Don Flood Alleviation, Section III (St </w:t>
            </w:r>
            <w:proofErr w:type="spellStart"/>
            <w:r w:rsidRPr="00C03DB4">
              <w:rPr>
                <w:rFonts w:ascii="Calibri" w:eastAsia="Times New Roman" w:hAnsi="Calibri" w:cs="Times New Roman"/>
                <w:color w:val="000000"/>
                <w:sz w:val="16"/>
                <w:szCs w:val="16"/>
                <w:lang w:eastAsia="en-GB"/>
              </w:rPr>
              <w:t>Anns</w:t>
            </w:r>
            <w:proofErr w:type="spellEnd"/>
            <w:r w:rsidRPr="00C03DB4">
              <w:rPr>
                <w:rFonts w:ascii="Calibri" w:eastAsia="Times New Roman" w:hAnsi="Calibri" w:cs="Times New Roman"/>
                <w:color w:val="000000"/>
                <w:sz w:val="16"/>
                <w:szCs w:val="16"/>
                <w:lang w:eastAsia="en-GB"/>
              </w:rPr>
              <w:t xml:space="preserve"> Road, Rotherham to Aldwarke).                                                                                                                                                           River Don Flood Alleviation, Section </w:t>
            </w:r>
            <w:proofErr w:type="gramStart"/>
            <w:r w:rsidRPr="00C03DB4">
              <w:rPr>
                <w:rFonts w:ascii="Calibri" w:eastAsia="Times New Roman" w:hAnsi="Calibri" w:cs="Times New Roman"/>
                <w:color w:val="000000"/>
                <w:sz w:val="16"/>
                <w:szCs w:val="16"/>
                <w:lang w:eastAsia="en-GB"/>
              </w:rPr>
              <w:t>IV  (</w:t>
            </w:r>
            <w:proofErr w:type="gramEnd"/>
            <w:r w:rsidRPr="00C03DB4">
              <w:rPr>
                <w:rFonts w:ascii="Calibri" w:eastAsia="Times New Roman" w:hAnsi="Calibri" w:cs="Times New Roman"/>
                <w:color w:val="000000"/>
                <w:sz w:val="16"/>
                <w:szCs w:val="16"/>
                <w:lang w:eastAsia="en-GB"/>
              </w:rPr>
              <w:t xml:space="preserve">Aldwarke to </w:t>
            </w:r>
            <w:proofErr w:type="spellStart"/>
            <w:r w:rsidRPr="00C03DB4">
              <w:rPr>
                <w:rFonts w:ascii="Calibri" w:eastAsia="Times New Roman" w:hAnsi="Calibri" w:cs="Times New Roman"/>
                <w:color w:val="000000"/>
                <w:sz w:val="16"/>
                <w:szCs w:val="16"/>
                <w:lang w:eastAsia="en-GB"/>
              </w:rPr>
              <w:t>Kilnhurst</w:t>
            </w:r>
            <w:proofErr w:type="spellEnd"/>
            <w:r w:rsidRPr="00C03DB4">
              <w:rPr>
                <w:rFonts w:ascii="Calibri" w:eastAsia="Times New Roman" w:hAnsi="Calibri" w:cs="Times New Roman"/>
                <w:color w:val="000000"/>
                <w:sz w:val="16"/>
                <w:szCs w:val="16"/>
                <w:lang w:eastAsia="en-GB"/>
              </w:rPr>
              <w:t>).</w:t>
            </w:r>
          </w:p>
        </w:tc>
        <w:tc>
          <w:tcPr>
            <w:tcW w:w="2693" w:type="dxa"/>
            <w:tcBorders>
              <w:top w:val="nil"/>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Investigating Green Energy Opportunities  </w:t>
            </w:r>
          </w:p>
        </w:tc>
        <w:tc>
          <w:tcPr>
            <w:tcW w:w="850" w:type="dxa"/>
            <w:tcBorders>
              <w:top w:val="nil"/>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900"/>
        </w:trPr>
        <w:tc>
          <w:tcPr>
            <w:tcW w:w="2127" w:type="dxa"/>
            <w:tcBorders>
              <w:top w:val="nil"/>
              <w:left w:val="single" w:sz="8" w:space="0" w:color="auto"/>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lastRenderedPageBreak/>
              <w:t xml:space="preserve">R4.2.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canal improvement and regeneration works</w:t>
            </w:r>
          </w:p>
        </w:tc>
        <w:tc>
          <w:tcPr>
            <w:tcW w:w="6237" w:type="dxa"/>
            <w:tcBorders>
              <w:top w:val="nil"/>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South Yorkshire Canal improvement and regeneration</w:t>
            </w:r>
          </w:p>
        </w:tc>
        <w:tc>
          <w:tcPr>
            <w:tcW w:w="2693" w:type="dxa"/>
            <w:tcBorders>
              <w:top w:val="nil"/>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Investigating Green Energy Opportunities  </w:t>
            </w:r>
          </w:p>
        </w:tc>
        <w:tc>
          <w:tcPr>
            <w:tcW w:w="850" w:type="dxa"/>
            <w:tcBorders>
              <w:top w:val="nil"/>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900"/>
        </w:trPr>
        <w:tc>
          <w:tcPr>
            <w:tcW w:w="2127" w:type="dxa"/>
            <w:tcBorders>
              <w:top w:val="nil"/>
              <w:left w:val="single" w:sz="8" w:space="0" w:color="auto"/>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R4.3.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canal improvement, regeneration and restoration works</w:t>
            </w:r>
          </w:p>
        </w:tc>
        <w:tc>
          <w:tcPr>
            <w:tcW w:w="6237" w:type="dxa"/>
            <w:tcBorders>
              <w:top w:val="nil"/>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Chesterfield Canal Re-opening</w:t>
            </w:r>
          </w:p>
        </w:tc>
        <w:tc>
          <w:tcPr>
            <w:tcW w:w="2693" w:type="dxa"/>
            <w:tcBorders>
              <w:top w:val="nil"/>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Investigating Green Energy Opportunities  </w:t>
            </w:r>
          </w:p>
        </w:tc>
        <w:tc>
          <w:tcPr>
            <w:tcW w:w="850" w:type="dxa"/>
            <w:tcBorders>
              <w:top w:val="nil"/>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450"/>
        </w:trPr>
        <w:tc>
          <w:tcPr>
            <w:tcW w:w="2127" w:type="dxa"/>
            <w:tcBorders>
              <w:top w:val="nil"/>
              <w:left w:val="single" w:sz="8" w:space="0" w:color="auto"/>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R4.4. River flow</w:t>
            </w:r>
            <w:r w:rsidR="002D37B9">
              <w:rPr>
                <w:rFonts w:ascii="Calibri" w:eastAsia="Times New Roman" w:hAnsi="Calibri" w:cs="Times New Roman"/>
                <w:color w:val="000000"/>
                <w:sz w:val="16"/>
                <w:szCs w:val="16"/>
                <w:lang w:eastAsia="en-GB"/>
              </w:rPr>
              <w:t xml:space="preserve"> </w:t>
            </w:r>
            <w:r w:rsidRPr="00C03DB4">
              <w:rPr>
                <w:rFonts w:ascii="Calibri" w:eastAsia="Times New Roman" w:hAnsi="Calibri" w:cs="Times New Roman"/>
                <w:color w:val="000000"/>
                <w:sz w:val="16"/>
                <w:szCs w:val="16"/>
                <w:lang w:eastAsia="en-GB"/>
              </w:rPr>
              <w:t>management and navigation</w:t>
            </w:r>
          </w:p>
        </w:tc>
        <w:tc>
          <w:tcPr>
            <w:tcW w:w="6237" w:type="dxa"/>
            <w:tcBorders>
              <w:top w:val="nil"/>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River Rother and Rother "Link"</w:t>
            </w:r>
          </w:p>
        </w:tc>
        <w:tc>
          <w:tcPr>
            <w:tcW w:w="2693" w:type="dxa"/>
            <w:tcBorders>
              <w:top w:val="nil"/>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Investigating Green Energy Opportunities  </w:t>
            </w:r>
          </w:p>
        </w:tc>
        <w:tc>
          <w:tcPr>
            <w:tcW w:w="850" w:type="dxa"/>
            <w:tcBorders>
              <w:top w:val="nil"/>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465"/>
        </w:trPr>
        <w:tc>
          <w:tcPr>
            <w:tcW w:w="2127" w:type="dxa"/>
            <w:tcBorders>
              <w:top w:val="nil"/>
              <w:left w:val="single" w:sz="8" w:space="0" w:color="auto"/>
              <w:bottom w:val="single" w:sz="8"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R9.4. Food &amp; Agricultural Waste Management</w:t>
            </w:r>
          </w:p>
        </w:tc>
        <w:tc>
          <w:tcPr>
            <w:tcW w:w="6237" w:type="dxa"/>
            <w:tcBorders>
              <w:top w:val="nil"/>
              <w:left w:val="nil"/>
              <w:bottom w:val="single" w:sz="8" w:space="0" w:color="auto"/>
              <w:right w:val="single" w:sz="4" w:space="0" w:color="auto"/>
            </w:tcBorders>
            <w:shd w:val="clear" w:color="000000" w:fill="00FF00"/>
            <w:noWrap/>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Green Waste</w:t>
            </w:r>
          </w:p>
        </w:tc>
        <w:tc>
          <w:tcPr>
            <w:tcW w:w="2693" w:type="dxa"/>
            <w:tcBorders>
              <w:top w:val="nil"/>
              <w:left w:val="nil"/>
              <w:bottom w:val="single" w:sz="8" w:space="0" w:color="auto"/>
              <w:right w:val="single" w:sz="4" w:space="0" w:color="auto"/>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8" w:space="0" w:color="auto"/>
              <w:right w:val="single" w:sz="4" w:space="0" w:color="auto"/>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8"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single" w:sz="8"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8"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8"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8"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8" w:space="0" w:color="auto"/>
              <w:right w:val="single" w:sz="8"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450"/>
        </w:trPr>
        <w:tc>
          <w:tcPr>
            <w:tcW w:w="2127" w:type="dxa"/>
            <w:tcBorders>
              <w:top w:val="nil"/>
              <w:left w:val="single" w:sz="8" w:space="0" w:color="auto"/>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R2.1. Regenerating Existing Business &amp; Commercial Areas</w:t>
            </w:r>
          </w:p>
        </w:tc>
        <w:tc>
          <w:tcPr>
            <w:tcW w:w="6237"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Creating 'Business Improvement Districts' - Physical Considerations for Existing Sites &amp; Premises (See also 5.1 below)</w:t>
            </w:r>
          </w:p>
        </w:tc>
        <w:tc>
          <w:tcPr>
            <w:tcW w:w="2693"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450"/>
        </w:trPr>
        <w:tc>
          <w:tcPr>
            <w:tcW w:w="2127" w:type="dxa"/>
            <w:tcBorders>
              <w:top w:val="nil"/>
              <w:left w:val="single" w:sz="8" w:space="0" w:color="auto"/>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R2.4. Providing new Land &amp; Premises for Businesses</w:t>
            </w:r>
          </w:p>
        </w:tc>
        <w:tc>
          <w:tcPr>
            <w:tcW w:w="6237"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New Land &amp; Property for Businesses - Environmental Considerations for New Sites &amp; Premises</w:t>
            </w:r>
          </w:p>
        </w:tc>
        <w:tc>
          <w:tcPr>
            <w:tcW w:w="2693"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480"/>
        </w:trPr>
        <w:tc>
          <w:tcPr>
            <w:tcW w:w="2127" w:type="dxa"/>
            <w:vMerge w:val="restart"/>
            <w:tcBorders>
              <w:top w:val="nil"/>
              <w:left w:val="single" w:sz="8"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R4.1.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flood alleviation works</w:t>
            </w:r>
          </w:p>
        </w:tc>
        <w:tc>
          <w:tcPr>
            <w:tcW w:w="623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River Don Flood Alleviation, Section I Completion (Templeborough to Main Street, Rotherham).                                                                                                                                                                                 River Don Flood Alleviation, Section II (Main Street to St </w:t>
            </w:r>
            <w:proofErr w:type="spellStart"/>
            <w:r w:rsidRPr="00C03DB4">
              <w:rPr>
                <w:rFonts w:ascii="Calibri" w:eastAsia="Times New Roman" w:hAnsi="Calibri" w:cs="Times New Roman"/>
                <w:color w:val="000000"/>
                <w:sz w:val="16"/>
                <w:szCs w:val="16"/>
                <w:lang w:eastAsia="en-GB"/>
              </w:rPr>
              <w:t>Anns</w:t>
            </w:r>
            <w:proofErr w:type="spellEnd"/>
            <w:r w:rsidRPr="00C03DB4">
              <w:rPr>
                <w:rFonts w:ascii="Calibri" w:eastAsia="Times New Roman" w:hAnsi="Calibri" w:cs="Times New Roman"/>
                <w:color w:val="000000"/>
                <w:sz w:val="16"/>
                <w:szCs w:val="16"/>
                <w:lang w:eastAsia="en-GB"/>
              </w:rPr>
              <w:t xml:space="preserve"> Road, Rotherham).                                                                                                                                                  River Don Flood Alleviation, Section III (St </w:t>
            </w:r>
            <w:proofErr w:type="spellStart"/>
            <w:r w:rsidRPr="00C03DB4">
              <w:rPr>
                <w:rFonts w:ascii="Calibri" w:eastAsia="Times New Roman" w:hAnsi="Calibri" w:cs="Times New Roman"/>
                <w:color w:val="000000"/>
                <w:sz w:val="16"/>
                <w:szCs w:val="16"/>
                <w:lang w:eastAsia="en-GB"/>
              </w:rPr>
              <w:t>Anns</w:t>
            </w:r>
            <w:proofErr w:type="spellEnd"/>
            <w:r w:rsidRPr="00C03DB4">
              <w:rPr>
                <w:rFonts w:ascii="Calibri" w:eastAsia="Times New Roman" w:hAnsi="Calibri" w:cs="Times New Roman"/>
                <w:color w:val="000000"/>
                <w:sz w:val="16"/>
                <w:szCs w:val="16"/>
                <w:lang w:eastAsia="en-GB"/>
              </w:rPr>
              <w:t xml:space="preserve"> Road, Rotherham to Aldwarke).                                                                                                                                                           River Don Flood Alleviation, Section </w:t>
            </w:r>
            <w:proofErr w:type="gramStart"/>
            <w:r w:rsidRPr="00C03DB4">
              <w:rPr>
                <w:rFonts w:ascii="Calibri" w:eastAsia="Times New Roman" w:hAnsi="Calibri" w:cs="Times New Roman"/>
                <w:color w:val="000000"/>
                <w:sz w:val="16"/>
                <w:szCs w:val="16"/>
                <w:lang w:eastAsia="en-GB"/>
              </w:rPr>
              <w:t>IV  (</w:t>
            </w:r>
            <w:proofErr w:type="gramEnd"/>
            <w:r w:rsidRPr="00C03DB4">
              <w:rPr>
                <w:rFonts w:ascii="Calibri" w:eastAsia="Times New Roman" w:hAnsi="Calibri" w:cs="Times New Roman"/>
                <w:color w:val="000000"/>
                <w:sz w:val="16"/>
                <w:szCs w:val="16"/>
                <w:lang w:eastAsia="en-GB"/>
              </w:rPr>
              <w:t xml:space="preserve">Aldwarke to </w:t>
            </w:r>
            <w:proofErr w:type="spellStart"/>
            <w:r w:rsidRPr="00C03DB4">
              <w:rPr>
                <w:rFonts w:ascii="Calibri" w:eastAsia="Times New Roman" w:hAnsi="Calibri" w:cs="Times New Roman"/>
                <w:color w:val="000000"/>
                <w:sz w:val="16"/>
                <w:szCs w:val="16"/>
                <w:lang w:eastAsia="en-GB"/>
              </w:rPr>
              <w:t>Kilnhurst</w:t>
            </w:r>
            <w:proofErr w:type="spellEnd"/>
            <w:r w:rsidRPr="00C03DB4">
              <w:rPr>
                <w:rFonts w:ascii="Calibri" w:eastAsia="Times New Roman" w:hAnsi="Calibri" w:cs="Times New Roman"/>
                <w:color w:val="000000"/>
                <w:sz w:val="16"/>
                <w:szCs w:val="16"/>
                <w:lang w:eastAsia="en-GB"/>
              </w:rPr>
              <w:t>).</w:t>
            </w: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Flood Defence Improvements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480"/>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Development Site Opportunities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900"/>
        </w:trPr>
        <w:tc>
          <w:tcPr>
            <w:tcW w:w="2127" w:type="dxa"/>
            <w:tcBorders>
              <w:top w:val="nil"/>
              <w:left w:val="single" w:sz="8" w:space="0" w:color="auto"/>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R4.2.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canal improvement and regeneration works</w:t>
            </w:r>
          </w:p>
        </w:tc>
        <w:tc>
          <w:tcPr>
            <w:tcW w:w="6237"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South Yorkshire Canal improvement and regeneration</w:t>
            </w: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Flood Defence Improvements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900"/>
        </w:trPr>
        <w:tc>
          <w:tcPr>
            <w:tcW w:w="2127" w:type="dxa"/>
            <w:tcBorders>
              <w:top w:val="nil"/>
              <w:left w:val="single" w:sz="8" w:space="0" w:color="auto"/>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R4.2.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canal improvement and regeneration works</w:t>
            </w:r>
          </w:p>
        </w:tc>
        <w:tc>
          <w:tcPr>
            <w:tcW w:w="6237"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South Yorkshire Canal improvement and regeneration</w:t>
            </w: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Development Site Opportunities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225"/>
        </w:trPr>
        <w:tc>
          <w:tcPr>
            <w:tcW w:w="2127" w:type="dxa"/>
            <w:vMerge w:val="restart"/>
            <w:tcBorders>
              <w:top w:val="nil"/>
              <w:left w:val="single" w:sz="8"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R4.3.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canal improvement, regeneration and restoration works</w:t>
            </w:r>
          </w:p>
        </w:tc>
        <w:tc>
          <w:tcPr>
            <w:tcW w:w="623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Chesterfield Canal Re-opening</w:t>
            </w: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Flood Defence Improvements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225"/>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Development Site Opportunities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225"/>
        </w:trPr>
        <w:tc>
          <w:tcPr>
            <w:tcW w:w="2127" w:type="dxa"/>
            <w:vMerge w:val="restart"/>
            <w:tcBorders>
              <w:top w:val="nil"/>
              <w:left w:val="single" w:sz="8"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R4.4. River flow</w:t>
            </w:r>
            <w:r w:rsidR="002D37B9">
              <w:rPr>
                <w:rFonts w:ascii="Calibri" w:eastAsia="Times New Roman" w:hAnsi="Calibri" w:cs="Times New Roman"/>
                <w:color w:val="000000"/>
                <w:sz w:val="16"/>
                <w:szCs w:val="16"/>
                <w:lang w:eastAsia="en-GB"/>
              </w:rPr>
              <w:t xml:space="preserve"> </w:t>
            </w:r>
            <w:r w:rsidRPr="00C03DB4">
              <w:rPr>
                <w:rFonts w:ascii="Calibri" w:eastAsia="Times New Roman" w:hAnsi="Calibri" w:cs="Times New Roman"/>
                <w:color w:val="000000"/>
                <w:sz w:val="16"/>
                <w:szCs w:val="16"/>
                <w:lang w:eastAsia="en-GB"/>
              </w:rPr>
              <w:t>management and navigation</w:t>
            </w:r>
          </w:p>
        </w:tc>
        <w:tc>
          <w:tcPr>
            <w:tcW w:w="623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River Rother and Rother "Link"</w:t>
            </w: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Flood Defence Improvements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x</w:t>
            </w:r>
          </w:p>
        </w:tc>
      </w:tr>
      <w:tr w:rsidR="00C03DB4" w:rsidRPr="00C03DB4" w:rsidTr="002D37B9">
        <w:trPr>
          <w:gridAfter w:val="2"/>
          <w:wAfter w:w="393" w:type="dxa"/>
          <w:trHeight w:val="225"/>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Development Site Opportunities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675"/>
        </w:trPr>
        <w:tc>
          <w:tcPr>
            <w:tcW w:w="2127" w:type="dxa"/>
            <w:tcBorders>
              <w:top w:val="nil"/>
              <w:left w:val="single" w:sz="8" w:space="0" w:color="auto"/>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lastRenderedPageBreak/>
              <w:t>R5.1. Property Protection/Improvement - Industrial &amp; Commercial Premises</w:t>
            </w:r>
          </w:p>
        </w:tc>
        <w:tc>
          <w:tcPr>
            <w:tcW w:w="6237"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Creating 'Business Improvement Districts' - Physical Considerations for Existing Sites &amp; Premises (See also 2.1. above)</w:t>
            </w:r>
          </w:p>
        </w:tc>
        <w:tc>
          <w:tcPr>
            <w:tcW w:w="2693"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675"/>
        </w:trPr>
        <w:tc>
          <w:tcPr>
            <w:tcW w:w="2127" w:type="dxa"/>
            <w:tcBorders>
              <w:top w:val="nil"/>
              <w:left w:val="single" w:sz="8" w:space="0" w:color="auto"/>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R5.2. Property Protection/Improvement - Residential Premises</w:t>
            </w:r>
          </w:p>
        </w:tc>
        <w:tc>
          <w:tcPr>
            <w:tcW w:w="6237"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Creating 'Residential Improvement Districts' - Physical Considerations for Existing Properties</w:t>
            </w:r>
          </w:p>
        </w:tc>
        <w:tc>
          <w:tcPr>
            <w:tcW w:w="2693"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225"/>
        </w:trPr>
        <w:tc>
          <w:tcPr>
            <w:tcW w:w="2127" w:type="dxa"/>
            <w:tcBorders>
              <w:top w:val="nil"/>
              <w:left w:val="single" w:sz="8" w:space="0" w:color="auto"/>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R5.3. Infrastructure</w:t>
            </w:r>
          </w:p>
        </w:tc>
        <w:tc>
          <w:tcPr>
            <w:tcW w:w="6237"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New Infrastructure for a Climate Proof Future</w:t>
            </w:r>
          </w:p>
        </w:tc>
        <w:tc>
          <w:tcPr>
            <w:tcW w:w="2693"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270"/>
        </w:trPr>
        <w:tc>
          <w:tcPr>
            <w:tcW w:w="2127" w:type="dxa"/>
            <w:tcBorders>
              <w:top w:val="nil"/>
              <w:left w:val="single" w:sz="8" w:space="0" w:color="auto"/>
              <w:bottom w:val="nil"/>
              <w:right w:val="single" w:sz="4" w:space="0" w:color="auto"/>
            </w:tcBorders>
            <w:shd w:val="clear" w:color="000000" w:fill="00B0F0"/>
            <w:noWrap/>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R6.1. Reducing CO</w:t>
            </w:r>
            <w:r w:rsidRPr="00C03DB4">
              <w:rPr>
                <w:rFonts w:ascii="Calibri" w:eastAsia="Times New Roman" w:hAnsi="Calibri" w:cs="Times New Roman"/>
                <w:color w:val="000000"/>
                <w:sz w:val="16"/>
                <w:szCs w:val="16"/>
                <w:vertAlign w:val="subscript"/>
                <w:lang w:eastAsia="en-GB"/>
              </w:rPr>
              <w:t>2</w:t>
            </w:r>
            <w:r w:rsidRPr="00C03DB4">
              <w:rPr>
                <w:rFonts w:ascii="Calibri" w:eastAsia="Times New Roman" w:hAnsi="Calibri" w:cs="Times New Roman"/>
                <w:color w:val="000000"/>
                <w:sz w:val="16"/>
                <w:szCs w:val="16"/>
                <w:lang w:eastAsia="en-GB"/>
              </w:rPr>
              <w:t xml:space="preserve"> Emissions</w:t>
            </w:r>
          </w:p>
        </w:tc>
        <w:tc>
          <w:tcPr>
            <w:tcW w:w="6237" w:type="dxa"/>
            <w:tcBorders>
              <w:top w:val="nil"/>
              <w:left w:val="nil"/>
              <w:bottom w:val="nil"/>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CO2 Reduction in the Built Environment</w:t>
            </w:r>
          </w:p>
        </w:tc>
        <w:tc>
          <w:tcPr>
            <w:tcW w:w="2693" w:type="dxa"/>
            <w:tcBorders>
              <w:top w:val="nil"/>
              <w:left w:val="nil"/>
              <w:bottom w:val="nil"/>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nil"/>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nil"/>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nil"/>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nil"/>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nil"/>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nil"/>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6" w:type="dxa"/>
            <w:gridSpan w:val="2"/>
            <w:tcBorders>
              <w:top w:val="nil"/>
              <w:left w:val="nil"/>
              <w:bottom w:val="nil"/>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7" w:type="dxa"/>
            <w:tcBorders>
              <w:top w:val="nil"/>
              <w:left w:val="nil"/>
              <w:bottom w:val="nil"/>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nil"/>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nil"/>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450"/>
        </w:trPr>
        <w:tc>
          <w:tcPr>
            <w:tcW w:w="2127" w:type="dxa"/>
            <w:tcBorders>
              <w:top w:val="single" w:sz="8" w:space="0" w:color="auto"/>
              <w:left w:val="single" w:sz="8"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R3.1. Encouraging &amp; Protecting Bio-Diversity</w:t>
            </w:r>
          </w:p>
        </w:tc>
        <w:tc>
          <w:tcPr>
            <w:tcW w:w="6237" w:type="dxa"/>
            <w:tcBorders>
              <w:top w:val="single" w:sz="8" w:space="0" w:color="auto"/>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Integrated Bio-diversity Management</w:t>
            </w:r>
          </w:p>
        </w:tc>
        <w:tc>
          <w:tcPr>
            <w:tcW w:w="2693" w:type="dxa"/>
            <w:tcBorders>
              <w:top w:val="single" w:sz="8" w:space="0" w:color="auto"/>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single" w:sz="8" w:space="0" w:color="auto"/>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7" w:type="dxa"/>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single" w:sz="8" w:space="0" w:color="auto"/>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single" w:sz="8" w:space="0" w:color="auto"/>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450"/>
        </w:trPr>
        <w:tc>
          <w:tcPr>
            <w:tcW w:w="2127" w:type="dxa"/>
            <w:tcBorders>
              <w:top w:val="nil"/>
              <w:left w:val="single" w:sz="8"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R3.2. Establishing Ecological Networks</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Integrated Ecological Networks</w:t>
            </w:r>
          </w:p>
        </w:tc>
        <w:tc>
          <w:tcPr>
            <w:tcW w:w="2693"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225"/>
        </w:trPr>
        <w:tc>
          <w:tcPr>
            <w:tcW w:w="2127" w:type="dxa"/>
            <w:tcBorders>
              <w:top w:val="nil"/>
              <w:left w:val="single" w:sz="8"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R3.3. Managing Woodlands</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Integrated Woodland Management</w:t>
            </w:r>
          </w:p>
        </w:tc>
        <w:tc>
          <w:tcPr>
            <w:tcW w:w="2693"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675"/>
        </w:trPr>
        <w:tc>
          <w:tcPr>
            <w:tcW w:w="2127" w:type="dxa"/>
            <w:tcBorders>
              <w:top w:val="nil"/>
              <w:left w:val="single" w:sz="8"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R3.4. Parks, Gardens, Public Open Spaces, SSSI's &amp; areas of Outstanding Beauty</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Managing Parks, Gardens &amp; areas of Outstanding Interest</w:t>
            </w:r>
          </w:p>
        </w:tc>
        <w:tc>
          <w:tcPr>
            <w:tcW w:w="2693"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450"/>
        </w:trPr>
        <w:tc>
          <w:tcPr>
            <w:tcW w:w="2127" w:type="dxa"/>
            <w:vMerge w:val="restart"/>
            <w:tcBorders>
              <w:top w:val="nil"/>
              <w:left w:val="single" w:sz="8" w:space="0" w:color="auto"/>
              <w:bottom w:val="single" w:sz="4" w:space="0" w:color="000000"/>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R4.1.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flood alleviation works</w:t>
            </w:r>
          </w:p>
        </w:tc>
        <w:tc>
          <w:tcPr>
            <w:tcW w:w="6237" w:type="dxa"/>
            <w:vMerge w:val="restart"/>
            <w:tcBorders>
              <w:top w:val="nil"/>
              <w:left w:val="single" w:sz="4" w:space="0" w:color="auto"/>
              <w:bottom w:val="single" w:sz="4" w:space="0" w:color="000000"/>
              <w:right w:val="single" w:sz="4" w:space="0" w:color="auto"/>
            </w:tcBorders>
            <w:shd w:val="clear" w:color="000000" w:fill="FFFF00"/>
            <w:vAlign w:val="center"/>
            <w:hideMark/>
          </w:tcPr>
          <w:p w:rsidR="002D37B9"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River Don Flood Alleviation, Section I Completion (Templeborough to Main Street, Rotherham).                                                                                                                    </w:t>
            </w:r>
          </w:p>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River Don Flood Alleviation, Section II (Main Street to St </w:t>
            </w:r>
            <w:proofErr w:type="spellStart"/>
            <w:r w:rsidRPr="00C03DB4">
              <w:rPr>
                <w:rFonts w:ascii="Calibri" w:eastAsia="Times New Roman" w:hAnsi="Calibri" w:cs="Times New Roman"/>
                <w:color w:val="000000"/>
                <w:sz w:val="16"/>
                <w:szCs w:val="16"/>
                <w:lang w:eastAsia="en-GB"/>
              </w:rPr>
              <w:t>Anns</w:t>
            </w:r>
            <w:proofErr w:type="spellEnd"/>
            <w:r w:rsidRPr="00C03DB4">
              <w:rPr>
                <w:rFonts w:ascii="Calibri" w:eastAsia="Times New Roman" w:hAnsi="Calibri" w:cs="Times New Roman"/>
                <w:color w:val="000000"/>
                <w:sz w:val="16"/>
                <w:szCs w:val="16"/>
                <w:lang w:eastAsia="en-GB"/>
              </w:rPr>
              <w:t xml:space="preserve"> Road, Rotherham).                                                                                                                                                  River Don Flood Alleviation, Section III (St </w:t>
            </w:r>
            <w:proofErr w:type="spellStart"/>
            <w:r w:rsidRPr="00C03DB4">
              <w:rPr>
                <w:rFonts w:ascii="Calibri" w:eastAsia="Times New Roman" w:hAnsi="Calibri" w:cs="Times New Roman"/>
                <w:color w:val="000000"/>
                <w:sz w:val="16"/>
                <w:szCs w:val="16"/>
                <w:lang w:eastAsia="en-GB"/>
              </w:rPr>
              <w:t>Anns</w:t>
            </w:r>
            <w:proofErr w:type="spellEnd"/>
            <w:r w:rsidRPr="00C03DB4">
              <w:rPr>
                <w:rFonts w:ascii="Calibri" w:eastAsia="Times New Roman" w:hAnsi="Calibri" w:cs="Times New Roman"/>
                <w:color w:val="000000"/>
                <w:sz w:val="16"/>
                <w:szCs w:val="16"/>
                <w:lang w:eastAsia="en-GB"/>
              </w:rPr>
              <w:t xml:space="preserve"> Road, Rotherham to Aldwarke).                                                                                                                                                           River Don Flood Alleviation, Section </w:t>
            </w:r>
            <w:proofErr w:type="gramStart"/>
            <w:r w:rsidRPr="00C03DB4">
              <w:rPr>
                <w:rFonts w:ascii="Calibri" w:eastAsia="Times New Roman" w:hAnsi="Calibri" w:cs="Times New Roman"/>
                <w:color w:val="000000"/>
                <w:sz w:val="16"/>
                <w:szCs w:val="16"/>
                <w:lang w:eastAsia="en-GB"/>
              </w:rPr>
              <w:t>IV  (</w:t>
            </w:r>
            <w:proofErr w:type="gramEnd"/>
            <w:r w:rsidRPr="00C03DB4">
              <w:rPr>
                <w:rFonts w:ascii="Calibri" w:eastAsia="Times New Roman" w:hAnsi="Calibri" w:cs="Times New Roman"/>
                <w:color w:val="000000"/>
                <w:sz w:val="16"/>
                <w:szCs w:val="16"/>
                <w:lang w:eastAsia="en-GB"/>
              </w:rPr>
              <w:t xml:space="preserve">Aldwarke to </w:t>
            </w:r>
            <w:proofErr w:type="spellStart"/>
            <w:r w:rsidRPr="00C03DB4">
              <w:rPr>
                <w:rFonts w:ascii="Calibri" w:eastAsia="Times New Roman" w:hAnsi="Calibri" w:cs="Times New Roman"/>
                <w:color w:val="000000"/>
                <w:sz w:val="16"/>
                <w:szCs w:val="16"/>
                <w:lang w:eastAsia="en-GB"/>
              </w:rPr>
              <w:t>Kilnhurst</w:t>
            </w:r>
            <w:proofErr w:type="spellEnd"/>
            <w:r w:rsidRPr="00C03DB4">
              <w:rPr>
                <w:rFonts w:ascii="Calibri" w:eastAsia="Times New Roman" w:hAnsi="Calibri" w:cs="Times New Roman"/>
                <w:color w:val="000000"/>
                <w:sz w:val="16"/>
                <w:szCs w:val="16"/>
                <w:lang w:eastAsia="en-GB"/>
              </w:rPr>
              <w:t>).</w:t>
            </w: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Bio Diversity Improvements &amp; Habitat Protection</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225"/>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Environmental Improvement Opportunities </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225"/>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Treatment of Tributaries, Streams &amp; Goits </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450"/>
        </w:trPr>
        <w:tc>
          <w:tcPr>
            <w:tcW w:w="2127" w:type="dxa"/>
            <w:vMerge w:val="restart"/>
            <w:tcBorders>
              <w:top w:val="nil"/>
              <w:left w:val="single" w:sz="8" w:space="0" w:color="auto"/>
              <w:bottom w:val="single" w:sz="4" w:space="0" w:color="000000"/>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R4.2.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canal improvement and regeneration works</w:t>
            </w:r>
          </w:p>
        </w:tc>
        <w:tc>
          <w:tcPr>
            <w:tcW w:w="6237" w:type="dxa"/>
            <w:vMerge w:val="restart"/>
            <w:tcBorders>
              <w:top w:val="nil"/>
              <w:left w:val="single" w:sz="4" w:space="0" w:color="auto"/>
              <w:bottom w:val="single" w:sz="4" w:space="0" w:color="000000"/>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South Yorkshire Canal improvement and regeneration</w:t>
            </w: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Bio Diversity Improvements &amp; Habitat Protection</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225"/>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Environmental Improvement Opportunities </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225"/>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Treatment of Tributaries, Streams &amp; Goits </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167"/>
        </w:trPr>
        <w:tc>
          <w:tcPr>
            <w:tcW w:w="2127" w:type="dxa"/>
            <w:vMerge w:val="restart"/>
            <w:tcBorders>
              <w:top w:val="nil"/>
              <w:left w:val="single" w:sz="8" w:space="0" w:color="auto"/>
              <w:bottom w:val="single" w:sz="4" w:space="0" w:color="000000"/>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R4.3.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canal improvement, regeneration and restoration works</w:t>
            </w:r>
          </w:p>
        </w:tc>
        <w:tc>
          <w:tcPr>
            <w:tcW w:w="6237" w:type="dxa"/>
            <w:vMerge w:val="restart"/>
            <w:tcBorders>
              <w:top w:val="nil"/>
              <w:left w:val="single" w:sz="4" w:space="0" w:color="auto"/>
              <w:bottom w:val="single" w:sz="4" w:space="0" w:color="000000"/>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Chesterfield Canal Re-opening</w:t>
            </w: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Bio Diversity Improvements &amp; Habitat Protection</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70"/>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Environmental Improvement Opportunities </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225"/>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Treatment of Tributaries, Streams &amp; Goits </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450"/>
        </w:trPr>
        <w:tc>
          <w:tcPr>
            <w:tcW w:w="2127" w:type="dxa"/>
            <w:vMerge w:val="restart"/>
            <w:tcBorders>
              <w:top w:val="nil"/>
              <w:left w:val="single" w:sz="8" w:space="0" w:color="auto"/>
              <w:bottom w:val="single" w:sz="4" w:space="0" w:color="000000"/>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R4.4. River flow</w:t>
            </w:r>
            <w:r w:rsidR="002D37B9">
              <w:rPr>
                <w:rFonts w:ascii="Calibri" w:eastAsia="Times New Roman" w:hAnsi="Calibri" w:cs="Times New Roman"/>
                <w:color w:val="000000"/>
                <w:sz w:val="16"/>
                <w:szCs w:val="16"/>
                <w:lang w:eastAsia="en-GB"/>
              </w:rPr>
              <w:t xml:space="preserve"> </w:t>
            </w:r>
            <w:r w:rsidRPr="00C03DB4">
              <w:rPr>
                <w:rFonts w:ascii="Calibri" w:eastAsia="Times New Roman" w:hAnsi="Calibri" w:cs="Times New Roman"/>
                <w:color w:val="000000"/>
                <w:sz w:val="16"/>
                <w:szCs w:val="16"/>
                <w:lang w:eastAsia="en-GB"/>
              </w:rPr>
              <w:t>management and navigation</w:t>
            </w:r>
          </w:p>
        </w:tc>
        <w:tc>
          <w:tcPr>
            <w:tcW w:w="6237" w:type="dxa"/>
            <w:vMerge w:val="restart"/>
            <w:tcBorders>
              <w:top w:val="nil"/>
              <w:left w:val="single" w:sz="4" w:space="0" w:color="auto"/>
              <w:bottom w:val="single" w:sz="4" w:space="0" w:color="000000"/>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River Rother and Rother "Link"</w:t>
            </w: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Bio Diversity Improvements &amp; Habitat Protection</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225"/>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Environmental Improvement Opportunities </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450"/>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Treatment of Tributaries, Streams &amp; Goits </w:t>
            </w:r>
          </w:p>
        </w:tc>
        <w:tc>
          <w:tcPr>
            <w:tcW w:w="850"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r>
      <w:tr w:rsidR="00C03DB4" w:rsidRPr="00C03DB4" w:rsidTr="002D37B9">
        <w:trPr>
          <w:gridAfter w:val="2"/>
          <w:wAfter w:w="393" w:type="dxa"/>
          <w:trHeight w:val="300"/>
        </w:trPr>
        <w:tc>
          <w:tcPr>
            <w:tcW w:w="2127" w:type="dxa"/>
            <w:tcBorders>
              <w:top w:val="nil"/>
              <w:left w:val="single" w:sz="8"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lastRenderedPageBreak/>
              <w:t>R4.5. Surface Water Run-off Issues</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Integrated Surface Water Management</w:t>
            </w:r>
          </w:p>
        </w:tc>
        <w:tc>
          <w:tcPr>
            <w:tcW w:w="2693"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300"/>
        </w:trPr>
        <w:tc>
          <w:tcPr>
            <w:tcW w:w="2127" w:type="dxa"/>
            <w:tcBorders>
              <w:top w:val="nil"/>
              <w:left w:val="single" w:sz="8" w:space="0" w:color="auto"/>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R4.6. Water Pollution</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Water Pollution Control</w:t>
            </w:r>
          </w:p>
        </w:tc>
        <w:tc>
          <w:tcPr>
            <w:tcW w:w="2693"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315"/>
        </w:trPr>
        <w:tc>
          <w:tcPr>
            <w:tcW w:w="2127" w:type="dxa"/>
            <w:tcBorders>
              <w:top w:val="nil"/>
              <w:left w:val="single" w:sz="8" w:space="0" w:color="auto"/>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R6.2. Improving Water Management</w:t>
            </w:r>
          </w:p>
        </w:tc>
        <w:tc>
          <w:tcPr>
            <w:tcW w:w="6237" w:type="dxa"/>
            <w:tcBorders>
              <w:top w:val="nil"/>
              <w:left w:val="nil"/>
              <w:bottom w:val="single" w:sz="4" w:space="0" w:color="auto"/>
              <w:right w:val="single" w:sz="4" w:space="0" w:color="auto"/>
            </w:tcBorders>
            <w:shd w:val="clear" w:color="000000" w:fill="FF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Sustainable Water Management</w:t>
            </w:r>
          </w:p>
        </w:tc>
        <w:tc>
          <w:tcPr>
            <w:tcW w:w="2693"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7" w:type="dxa"/>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c>
          <w:tcPr>
            <w:tcW w:w="236" w:type="dxa"/>
            <w:gridSpan w:val="2"/>
            <w:tcBorders>
              <w:top w:val="nil"/>
              <w:left w:val="nil"/>
              <w:bottom w:val="single" w:sz="4" w:space="0" w:color="auto"/>
              <w:right w:val="single" w:sz="4"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FF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r>
      <w:tr w:rsidR="00C03DB4" w:rsidRPr="00C03DB4" w:rsidTr="002D37B9">
        <w:trPr>
          <w:gridAfter w:val="2"/>
          <w:wAfter w:w="393" w:type="dxa"/>
          <w:trHeight w:val="450"/>
        </w:trPr>
        <w:tc>
          <w:tcPr>
            <w:tcW w:w="2127" w:type="dxa"/>
            <w:tcBorders>
              <w:top w:val="single" w:sz="4" w:space="0" w:color="auto"/>
              <w:left w:val="single" w:sz="4" w:space="0" w:color="auto"/>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R7.1. Reducing CO2 emissions in the Public Transport Sector</w:t>
            </w:r>
          </w:p>
        </w:tc>
        <w:tc>
          <w:tcPr>
            <w:tcW w:w="6237" w:type="dxa"/>
            <w:tcBorders>
              <w:top w:val="single" w:sz="4" w:space="0" w:color="auto"/>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CO2 Reduction in the Transport Sector</w:t>
            </w:r>
          </w:p>
        </w:tc>
        <w:tc>
          <w:tcPr>
            <w:tcW w:w="2693" w:type="dxa"/>
            <w:tcBorders>
              <w:top w:val="single" w:sz="4" w:space="0" w:color="auto"/>
              <w:left w:val="nil"/>
              <w:bottom w:val="single" w:sz="4" w:space="0" w:color="auto"/>
              <w:right w:val="single" w:sz="4" w:space="0" w:color="auto"/>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single" w:sz="4" w:space="0" w:color="auto"/>
              <w:left w:val="nil"/>
              <w:bottom w:val="single" w:sz="4" w:space="0" w:color="auto"/>
              <w:right w:val="single" w:sz="4" w:space="0" w:color="auto"/>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7" w:type="dxa"/>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1</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465"/>
        </w:trPr>
        <w:tc>
          <w:tcPr>
            <w:tcW w:w="2127" w:type="dxa"/>
            <w:tcBorders>
              <w:top w:val="single" w:sz="4" w:space="0" w:color="auto"/>
              <w:left w:val="single" w:sz="4" w:space="0" w:color="auto"/>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R7.3. Integrated Green Transport Plans</w:t>
            </w:r>
          </w:p>
        </w:tc>
        <w:tc>
          <w:tcPr>
            <w:tcW w:w="6237" w:type="dxa"/>
            <w:tcBorders>
              <w:top w:val="single" w:sz="4" w:space="0" w:color="auto"/>
              <w:left w:val="nil"/>
              <w:bottom w:val="single" w:sz="4" w:space="0" w:color="auto"/>
              <w:right w:val="single" w:sz="4" w:space="0" w:color="auto"/>
            </w:tcBorders>
            <w:shd w:val="clear" w:color="000000" w:fill="00FF0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A Climate Friendly Transport Plan for Rotherham</w:t>
            </w:r>
          </w:p>
        </w:tc>
        <w:tc>
          <w:tcPr>
            <w:tcW w:w="2693" w:type="dxa"/>
            <w:tcBorders>
              <w:top w:val="single" w:sz="4" w:space="0" w:color="auto"/>
              <w:left w:val="nil"/>
              <w:bottom w:val="single" w:sz="4" w:space="0" w:color="auto"/>
              <w:right w:val="single" w:sz="4" w:space="0" w:color="auto"/>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single" w:sz="4" w:space="0" w:color="auto"/>
              <w:left w:val="nil"/>
              <w:bottom w:val="single" w:sz="4" w:space="0" w:color="auto"/>
              <w:right w:val="single" w:sz="4" w:space="0" w:color="auto"/>
            </w:tcBorders>
            <w:shd w:val="clear" w:color="000000" w:fill="00FF0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7" w:type="dxa"/>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c>
          <w:tcPr>
            <w:tcW w:w="236" w:type="dxa"/>
            <w:gridSpan w:val="2"/>
            <w:tcBorders>
              <w:top w:val="single" w:sz="4" w:space="0" w:color="auto"/>
              <w:left w:val="nil"/>
              <w:bottom w:val="single" w:sz="4" w:space="0" w:color="auto"/>
              <w:right w:val="single" w:sz="4" w:space="0" w:color="auto"/>
            </w:tcBorders>
            <w:shd w:val="clear" w:color="000000" w:fill="00FF0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r>
      <w:tr w:rsidR="00C03DB4" w:rsidRPr="00C03DB4" w:rsidTr="002D37B9">
        <w:trPr>
          <w:gridAfter w:val="2"/>
          <w:wAfter w:w="393" w:type="dxa"/>
          <w:trHeight w:val="900"/>
        </w:trPr>
        <w:tc>
          <w:tcPr>
            <w:tcW w:w="2127" w:type="dxa"/>
            <w:tcBorders>
              <w:top w:val="single" w:sz="4" w:space="0" w:color="auto"/>
              <w:left w:val="single" w:sz="8" w:space="0" w:color="auto"/>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R4.1.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flood alleviation works</w:t>
            </w:r>
          </w:p>
        </w:tc>
        <w:tc>
          <w:tcPr>
            <w:tcW w:w="6237" w:type="dxa"/>
            <w:tcBorders>
              <w:top w:val="single" w:sz="4" w:space="0" w:color="auto"/>
              <w:left w:val="nil"/>
              <w:bottom w:val="single" w:sz="4" w:space="0" w:color="auto"/>
              <w:right w:val="single" w:sz="4" w:space="0" w:color="auto"/>
            </w:tcBorders>
            <w:shd w:val="clear" w:color="000000" w:fill="00B0F0"/>
            <w:vAlign w:val="center"/>
            <w:hideMark/>
          </w:tcPr>
          <w:p w:rsidR="002D37B9"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River Don Flood Alleviation, Section I Completion (Templeborough to Main Street, Rotherham).                                                                                                                   </w:t>
            </w:r>
          </w:p>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 River Don Flood Alleviation, Section II (Main Street to St </w:t>
            </w:r>
            <w:proofErr w:type="spellStart"/>
            <w:r w:rsidRPr="00C03DB4">
              <w:rPr>
                <w:rFonts w:ascii="Calibri" w:eastAsia="Times New Roman" w:hAnsi="Calibri" w:cs="Times New Roman"/>
                <w:color w:val="000000"/>
                <w:sz w:val="16"/>
                <w:szCs w:val="16"/>
                <w:lang w:eastAsia="en-GB"/>
              </w:rPr>
              <w:t>Anns</w:t>
            </w:r>
            <w:proofErr w:type="spellEnd"/>
            <w:r w:rsidRPr="00C03DB4">
              <w:rPr>
                <w:rFonts w:ascii="Calibri" w:eastAsia="Times New Roman" w:hAnsi="Calibri" w:cs="Times New Roman"/>
                <w:color w:val="000000"/>
                <w:sz w:val="16"/>
                <w:szCs w:val="16"/>
                <w:lang w:eastAsia="en-GB"/>
              </w:rPr>
              <w:t xml:space="preserve"> Road, Rotherham).                                                                                                                                                  River Don Flood Alleviation, Section III (St </w:t>
            </w:r>
            <w:proofErr w:type="spellStart"/>
            <w:r w:rsidRPr="00C03DB4">
              <w:rPr>
                <w:rFonts w:ascii="Calibri" w:eastAsia="Times New Roman" w:hAnsi="Calibri" w:cs="Times New Roman"/>
                <w:color w:val="000000"/>
                <w:sz w:val="16"/>
                <w:szCs w:val="16"/>
                <w:lang w:eastAsia="en-GB"/>
              </w:rPr>
              <w:t>Anns</w:t>
            </w:r>
            <w:proofErr w:type="spellEnd"/>
            <w:r w:rsidRPr="00C03DB4">
              <w:rPr>
                <w:rFonts w:ascii="Calibri" w:eastAsia="Times New Roman" w:hAnsi="Calibri" w:cs="Times New Roman"/>
                <w:color w:val="000000"/>
                <w:sz w:val="16"/>
                <w:szCs w:val="16"/>
                <w:lang w:eastAsia="en-GB"/>
              </w:rPr>
              <w:t xml:space="preserve"> Road, Rotherham to Aldwarke).                                                                                                                                                           River Don Flood Alleviation, Section </w:t>
            </w:r>
            <w:proofErr w:type="gramStart"/>
            <w:r w:rsidRPr="00C03DB4">
              <w:rPr>
                <w:rFonts w:ascii="Calibri" w:eastAsia="Times New Roman" w:hAnsi="Calibri" w:cs="Times New Roman"/>
                <w:color w:val="000000"/>
                <w:sz w:val="16"/>
                <w:szCs w:val="16"/>
                <w:lang w:eastAsia="en-GB"/>
              </w:rPr>
              <w:t>IV  (</w:t>
            </w:r>
            <w:proofErr w:type="gramEnd"/>
            <w:r w:rsidRPr="00C03DB4">
              <w:rPr>
                <w:rFonts w:ascii="Calibri" w:eastAsia="Times New Roman" w:hAnsi="Calibri" w:cs="Times New Roman"/>
                <w:color w:val="000000"/>
                <w:sz w:val="16"/>
                <w:szCs w:val="16"/>
                <w:lang w:eastAsia="en-GB"/>
              </w:rPr>
              <w:t xml:space="preserve">Aldwarke to </w:t>
            </w:r>
            <w:proofErr w:type="spellStart"/>
            <w:r w:rsidRPr="00C03DB4">
              <w:rPr>
                <w:rFonts w:ascii="Calibri" w:eastAsia="Times New Roman" w:hAnsi="Calibri" w:cs="Times New Roman"/>
                <w:color w:val="000000"/>
                <w:sz w:val="16"/>
                <w:szCs w:val="16"/>
                <w:lang w:eastAsia="en-GB"/>
              </w:rPr>
              <w:t>Kilnhurst</w:t>
            </w:r>
            <w:proofErr w:type="spellEnd"/>
            <w:r w:rsidRPr="00C03DB4">
              <w:rPr>
                <w:rFonts w:ascii="Calibri" w:eastAsia="Times New Roman" w:hAnsi="Calibri" w:cs="Times New Roman"/>
                <w:color w:val="000000"/>
                <w:sz w:val="16"/>
                <w:szCs w:val="16"/>
                <w:lang w:eastAsia="en-GB"/>
              </w:rPr>
              <w:t>).</w:t>
            </w:r>
          </w:p>
        </w:tc>
        <w:tc>
          <w:tcPr>
            <w:tcW w:w="2693" w:type="dxa"/>
            <w:tcBorders>
              <w:top w:val="single" w:sz="4" w:space="0" w:color="auto"/>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Investigating Green Transport Opportunities</w:t>
            </w:r>
          </w:p>
        </w:tc>
        <w:tc>
          <w:tcPr>
            <w:tcW w:w="850" w:type="dxa"/>
            <w:tcBorders>
              <w:top w:val="single" w:sz="4" w:space="0" w:color="auto"/>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single" w:sz="4"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gridSpan w:val="2"/>
            <w:tcBorders>
              <w:top w:val="single" w:sz="4"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tcBorders>
              <w:top w:val="single" w:sz="4"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single" w:sz="4" w:space="0" w:color="auto"/>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single" w:sz="4" w:space="0" w:color="auto"/>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r>
      <w:tr w:rsidR="00C03DB4" w:rsidRPr="00C03DB4" w:rsidTr="002D37B9">
        <w:trPr>
          <w:gridAfter w:val="2"/>
          <w:wAfter w:w="393" w:type="dxa"/>
          <w:trHeight w:val="300"/>
        </w:trPr>
        <w:tc>
          <w:tcPr>
            <w:tcW w:w="2127" w:type="dxa"/>
            <w:vMerge w:val="restart"/>
            <w:tcBorders>
              <w:top w:val="nil"/>
              <w:left w:val="single" w:sz="8"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R4.2.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canal improvement and regeneration works</w:t>
            </w:r>
          </w:p>
        </w:tc>
        <w:tc>
          <w:tcPr>
            <w:tcW w:w="623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South Yorkshire Canal improvement and regeneration</w:t>
            </w: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Investigating Green Transport Opportunities</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r>
      <w:tr w:rsidR="00C03DB4" w:rsidRPr="00C03DB4" w:rsidTr="002D37B9">
        <w:trPr>
          <w:gridAfter w:val="2"/>
          <w:wAfter w:w="393" w:type="dxa"/>
          <w:trHeight w:val="300"/>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Improvement of </w:t>
            </w:r>
            <w:proofErr w:type="spellStart"/>
            <w:r w:rsidRPr="00C03DB4">
              <w:rPr>
                <w:rFonts w:ascii="Calibri" w:eastAsia="Times New Roman" w:hAnsi="Calibri" w:cs="Times New Roman"/>
                <w:b/>
                <w:bCs/>
                <w:i/>
                <w:iCs/>
                <w:color w:val="000000"/>
                <w:sz w:val="16"/>
                <w:szCs w:val="16"/>
                <w:lang w:eastAsia="en-GB"/>
              </w:rPr>
              <w:t>Exisiting</w:t>
            </w:r>
            <w:proofErr w:type="spellEnd"/>
            <w:r w:rsidRPr="00C03DB4">
              <w:rPr>
                <w:rFonts w:ascii="Calibri" w:eastAsia="Times New Roman" w:hAnsi="Calibri" w:cs="Times New Roman"/>
                <w:b/>
                <w:bCs/>
                <w:i/>
                <w:iCs/>
                <w:color w:val="000000"/>
                <w:sz w:val="16"/>
                <w:szCs w:val="16"/>
                <w:lang w:eastAsia="en-GB"/>
              </w:rPr>
              <w:t xml:space="preserve"> Canal Infrastructure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r>
      <w:tr w:rsidR="00C03DB4" w:rsidRPr="00C03DB4" w:rsidTr="002D37B9">
        <w:trPr>
          <w:gridAfter w:val="2"/>
          <w:wAfter w:w="393" w:type="dxa"/>
          <w:trHeight w:val="70"/>
        </w:trPr>
        <w:tc>
          <w:tcPr>
            <w:tcW w:w="2127" w:type="dxa"/>
            <w:vMerge w:val="restart"/>
            <w:tcBorders>
              <w:top w:val="nil"/>
              <w:left w:val="single" w:sz="8"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xml:space="preserve">R4.3. Maximising </w:t>
            </w:r>
            <w:r w:rsidR="002D37B9" w:rsidRPr="00C03DB4">
              <w:rPr>
                <w:rFonts w:ascii="Calibri" w:eastAsia="Times New Roman" w:hAnsi="Calibri" w:cs="Times New Roman"/>
                <w:color w:val="000000"/>
                <w:sz w:val="16"/>
                <w:szCs w:val="16"/>
                <w:lang w:eastAsia="en-GB"/>
              </w:rPr>
              <w:t>benefits</w:t>
            </w:r>
            <w:r w:rsidRPr="00C03DB4">
              <w:rPr>
                <w:rFonts w:ascii="Calibri" w:eastAsia="Times New Roman" w:hAnsi="Calibri" w:cs="Times New Roman"/>
                <w:color w:val="000000"/>
                <w:sz w:val="16"/>
                <w:szCs w:val="16"/>
                <w:lang w:eastAsia="en-GB"/>
              </w:rPr>
              <w:t xml:space="preserve"> and </w:t>
            </w:r>
            <w:r w:rsidR="002D37B9" w:rsidRPr="00C03DB4">
              <w:rPr>
                <w:rFonts w:ascii="Calibri" w:eastAsia="Times New Roman" w:hAnsi="Calibri" w:cs="Times New Roman"/>
                <w:color w:val="000000"/>
                <w:sz w:val="16"/>
                <w:szCs w:val="16"/>
                <w:lang w:eastAsia="en-GB"/>
              </w:rPr>
              <w:t>minimising</w:t>
            </w:r>
            <w:r w:rsidRPr="00C03DB4">
              <w:rPr>
                <w:rFonts w:ascii="Calibri" w:eastAsia="Times New Roman" w:hAnsi="Calibri" w:cs="Times New Roman"/>
                <w:color w:val="000000"/>
                <w:sz w:val="16"/>
                <w:szCs w:val="16"/>
                <w:lang w:eastAsia="en-GB"/>
              </w:rPr>
              <w:t xml:space="preserve"> resource use associated with canal improvement, regeneration and restoration works</w:t>
            </w:r>
          </w:p>
        </w:tc>
        <w:tc>
          <w:tcPr>
            <w:tcW w:w="623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Chesterfield Canal Re-opening</w:t>
            </w: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Investigating Green Transport Opportunities</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r>
      <w:tr w:rsidR="00C03DB4" w:rsidRPr="00C03DB4" w:rsidTr="002D37B9">
        <w:trPr>
          <w:gridAfter w:val="2"/>
          <w:wAfter w:w="393" w:type="dxa"/>
          <w:trHeight w:val="215"/>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Improvement of </w:t>
            </w:r>
            <w:proofErr w:type="spellStart"/>
            <w:r w:rsidRPr="00C03DB4">
              <w:rPr>
                <w:rFonts w:ascii="Calibri" w:eastAsia="Times New Roman" w:hAnsi="Calibri" w:cs="Times New Roman"/>
                <w:b/>
                <w:bCs/>
                <w:i/>
                <w:iCs/>
                <w:color w:val="000000"/>
                <w:sz w:val="16"/>
                <w:szCs w:val="16"/>
                <w:lang w:eastAsia="en-GB"/>
              </w:rPr>
              <w:t>Exisiting</w:t>
            </w:r>
            <w:proofErr w:type="spellEnd"/>
            <w:r w:rsidRPr="00C03DB4">
              <w:rPr>
                <w:rFonts w:ascii="Calibri" w:eastAsia="Times New Roman" w:hAnsi="Calibri" w:cs="Times New Roman"/>
                <w:b/>
                <w:bCs/>
                <w:i/>
                <w:iCs/>
                <w:color w:val="000000"/>
                <w:sz w:val="16"/>
                <w:szCs w:val="16"/>
                <w:lang w:eastAsia="en-GB"/>
              </w:rPr>
              <w:t xml:space="preserve"> Canal Infrastructure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r>
      <w:tr w:rsidR="00C03DB4" w:rsidRPr="00C03DB4" w:rsidTr="002D37B9">
        <w:trPr>
          <w:gridAfter w:val="2"/>
          <w:wAfter w:w="393" w:type="dxa"/>
          <w:trHeight w:val="93"/>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Introduction of new Canal Infrastructure</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r>
      <w:tr w:rsidR="00C03DB4" w:rsidRPr="00C03DB4" w:rsidTr="002D37B9">
        <w:trPr>
          <w:gridAfter w:val="2"/>
          <w:wAfter w:w="393" w:type="dxa"/>
          <w:trHeight w:val="113"/>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Development of the Proposed </w:t>
            </w:r>
            <w:proofErr w:type="spellStart"/>
            <w:r w:rsidRPr="00C03DB4">
              <w:rPr>
                <w:rFonts w:ascii="Calibri" w:eastAsia="Times New Roman" w:hAnsi="Calibri" w:cs="Times New Roman"/>
                <w:b/>
                <w:bCs/>
                <w:i/>
                <w:iCs/>
                <w:color w:val="000000"/>
                <w:sz w:val="16"/>
                <w:szCs w:val="16"/>
                <w:lang w:eastAsia="en-GB"/>
              </w:rPr>
              <w:t>Kiveton</w:t>
            </w:r>
            <w:proofErr w:type="spellEnd"/>
            <w:r w:rsidRPr="00C03DB4">
              <w:rPr>
                <w:rFonts w:ascii="Calibri" w:eastAsia="Times New Roman" w:hAnsi="Calibri" w:cs="Times New Roman"/>
                <w:b/>
                <w:bCs/>
                <w:i/>
                <w:iCs/>
                <w:color w:val="000000"/>
                <w:sz w:val="16"/>
                <w:szCs w:val="16"/>
                <w:lang w:eastAsia="en-GB"/>
              </w:rPr>
              <w:t xml:space="preserve"> Marina Hub</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1</w:t>
            </w:r>
          </w:p>
        </w:tc>
      </w:tr>
      <w:tr w:rsidR="00C03DB4" w:rsidRPr="00C03DB4" w:rsidTr="002D37B9">
        <w:trPr>
          <w:gridAfter w:val="2"/>
          <w:wAfter w:w="393" w:type="dxa"/>
          <w:trHeight w:val="300"/>
        </w:trPr>
        <w:tc>
          <w:tcPr>
            <w:tcW w:w="2127" w:type="dxa"/>
            <w:vMerge w:val="restart"/>
            <w:tcBorders>
              <w:top w:val="nil"/>
              <w:left w:val="single" w:sz="8"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R4.4. River flow</w:t>
            </w:r>
            <w:r w:rsidR="002D37B9">
              <w:rPr>
                <w:rFonts w:ascii="Calibri" w:eastAsia="Times New Roman" w:hAnsi="Calibri" w:cs="Times New Roman"/>
                <w:color w:val="000000"/>
                <w:sz w:val="16"/>
                <w:szCs w:val="16"/>
                <w:lang w:eastAsia="en-GB"/>
              </w:rPr>
              <w:t xml:space="preserve"> </w:t>
            </w:r>
            <w:r w:rsidRPr="00C03DB4">
              <w:rPr>
                <w:rFonts w:ascii="Calibri" w:eastAsia="Times New Roman" w:hAnsi="Calibri" w:cs="Times New Roman"/>
                <w:color w:val="000000"/>
                <w:sz w:val="16"/>
                <w:szCs w:val="16"/>
                <w:lang w:eastAsia="en-GB"/>
              </w:rPr>
              <w:t>management and navigation</w:t>
            </w:r>
          </w:p>
        </w:tc>
        <w:tc>
          <w:tcPr>
            <w:tcW w:w="6237" w:type="dxa"/>
            <w:vMerge w:val="restart"/>
            <w:tcBorders>
              <w:top w:val="nil"/>
              <w:left w:val="single" w:sz="4" w:space="0" w:color="auto"/>
              <w:bottom w:val="single" w:sz="4" w:space="0" w:color="000000"/>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River Rother and Rother "Link"</w:t>
            </w: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Investigating Green Transport Opportunities</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r>
      <w:tr w:rsidR="00C03DB4" w:rsidRPr="00C03DB4" w:rsidTr="002D37B9">
        <w:trPr>
          <w:gridAfter w:val="2"/>
          <w:wAfter w:w="393" w:type="dxa"/>
          <w:trHeight w:val="450"/>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Investigating the Potential for Full Navigation of the Watercourse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r>
      <w:tr w:rsidR="00C03DB4" w:rsidRPr="00C03DB4" w:rsidTr="002D37B9">
        <w:trPr>
          <w:gridAfter w:val="2"/>
          <w:wAfter w:w="393" w:type="dxa"/>
          <w:trHeight w:val="450"/>
        </w:trPr>
        <w:tc>
          <w:tcPr>
            <w:tcW w:w="2127" w:type="dxa"/>
            <w:vMerge/>
            <w:tcBorders>
              <w:top w:val="nil"/>
              <w:left w:val="single" w:sz="8"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6237" w:type="dxa"/>
            <w:vMerge/>
            <w:tcBorders>
              <w:top w:val="nil"/>
              <w:left w:val="single" w:sz="4" w:space="0" w:color="auto"/>
              <w:bottom w:val="single" w:sz="4" w:space="0" w:color="000000"/>
              <w:right w:val="single" w:sz="4" w:space="0" w:color="auto"/>
            </w:tcBorders>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p>
        </w:tc>
        <w:tc>
          <w:tcPr>
            <w:tcW w:w="2693"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xml:space="preserve">Replacement or Upgrading of the Existing Flood Defence 'Regulators' </w:t>
            </w:r>
          </w:p>
        </w:tc>
        <w:tc>
          <w:tcPr>
            <w:tcW w:w="850" w:type="dxa"/>
            <w:tcBorders>
              <w:top w:val="nil"/>
              <w:left w:val="nil"/>
              <w:bottom w:val="single" w:sz="4"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7" w:type="dxa"/>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 </w:t>
            </w:r>
          </w:p>
        </w:tc>
        <w:tc>
          <w:tcPr>
            <w:tcW w:w="236" w:type="dxa"/>
            <w:gridSpan w:val="2"/>
            <w:tcBorders>
              <w:top w:val="nil"/>
              <w:left w:val="nil"/>
              <w:bottom w:val="single" w:sz="4"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6" w:type="dxa"/>
            <w:gridSpan w:val="2"/>
            <w:tcBorders>
              <w:top w:val="nil"/>
              <w:left w:val="nil"/>
              <w:bottom w:val="single" w:sz="4"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r>
      <w:tr w:rsidR="00C03DB4" w:rsidRPr="00C03DB4" w:rsidTr="002D37B9">
        <w:trPr>
          <w:gridAfter w:val="2"/>
          <w:wAfter w:w="393" w:type="dxa"/>
          <w:trHeight w:val="315"/>
        </w:trPr>
        <w:tc>
          <w:tcPr>
            <w:tcW w:w="2127" w:type="dxa"/>
            <w:tcBorders>
              <w:top w:val="nil"/>
              <w:left w:val="single" w:sz="8" w:space="0" w:color="auto"/>
              <w:bottom w:val="single" w:sz="8"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R7.2. Cycling &amp; Pedestrian Activity</w:t>
            </w:r>
          </w:p>
        </w:tc>
        <w:tc>
          <w:tcPr>
            <w:tcW w:w="6237" w:type="dxa"/>
            <w:tcBorders>
              <w:top w:val="nil"/>
              <w:left w:val="nil"/>
              <w:bottom w:val="single" w:sz="8" w:space="0" w:color="auto"/>
              <w:right w:val="single" w:sz="4" w:space="0" w:color="auto"/>
            </w:tcBorders>
            <w:shd w:val="clear" w:color="000000" w:fill="00B0F0"/>
            <w:vAlign w:val="center"/>
            <w:hideMark/>
          </w:tcPr>
          <w:p w:rsidR="00C03DB4" w:rsidRPr="00C03DB4" w:rsidRDefault="00C03DB4" w:rsidP="00C03DB4">
            <w:pPr>
              <w:spacing w:after="0" w:line="240" w:lineRule="auto"/>
              <w:rPr>
                <w:rFonts w:ascii="Calibri" w:eastAsia="Times New Roman" w:hAnsi="Calibri" w:cs="Times New Roman"/>
                <w:b/>
                <w:bCs/>
                <w:i/>
                <w:iCs/>
                <w:color w:val="000000"/>
                <w:sz w:val="16"/>
                <w:szCs w:val="16"/>
                <w:lang w:eastAsia="en-GB"/>
              </w:rPr>
            </w:pPr>
            <w:r w:rsidRPr="00C03DB4">
              <w:rPr>
                <w:rFonts w:ascii="Calibri" w:eastAsia="Times New Roman" w:hAnsi="Calibri" w:cs="Times New Roman"/>
                <w:b/>
                <w:bCs/>
                <w:i/>
                <w:iCs/>
                <w:color w:val="000000"/>
                <w:sz w:val="16"/>
                <w:szCs w:val="16"/>
                <w:lang w:eastAsia="en-GB"/>
              </w:rPr>
              <w:t>Cycling &amp; Pedestrian Activity</w:t>
            </w:r>
          </w:p>
        </w:tc>
        <w:tc>
          <w:tcPr>
            <w:tcW w:w="2693" w:type="dxa"/>
            <w:tcBorders>
              <w:top w:val="nil"/>
              <w:left w:val="nil"/>
              <w:bottom w:val="single" w:sz="8"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850" w:type="dxa"/>
            <w:tcBorders>
              <w:top w:val="nil"/>
              <w:left w:val="nil"/>
              <w:bottom w:val="single" w:sz="8" w:space="0" w:color="auto"/>
              <w:right w:val="single" w:sz="4" w:space="0" w:color="auto"/>
            </w:tcBorders>
            <w:shd w:val="clear" w:color="000000" w:fill="00B0F0"/>
            <w:noWrap/>
            <w:vAlign w:val="bottom"/>
            <w:hideMark/>
          </w:tcPr>
          <w:p w:rsidR="00C03DB4" w:rsidRPr="00C03DB4" w:rsidRDefault="00C03DB4" w:rsidP="00C03DB4">
            <w:pPr>
              <w:spacing w:after="0" w:line="240" w:lineRule="auto"/>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84" w:type="dxa"/>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7"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2</w:t>
            </w:r>
          </w:p>
        </w:tc>
        <w:tc>
          <w:tcPr>
            <w:tcW w:w="237" w:type="dxa"/>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sz w:val="16"/>
                <w:szCs w:val="16"/>
                <w:lang w:eastAsia="en-GB"/>
              </w:rPr>
            </w:pPr>
            <w:r w:rsidRPr="00C03DB4">
              <w:rPr>
                <w:rFonts w:ascii="Calibri" w:eastAsia="Times New Roman" w:hAnsi="Calibri" w:cs="Times New Roman"/>
                <w:sz w:val="16"/>
                <w:szCs w:val="16"/>
                <w:lang w:eastAsia="en-GB"/>
              </w:rPr>
              <w:t> </w:t>
            </w:r>
          </w:p>
        </w:tc>
        <w:tc>
          <w:tcPr>
            <w:tcW w:w="236" w:type="dxa"/>
            <w:gridSpan w:val="2"/>
            <w:tcBorders>
              <w:top w:val="nil"/>
              <w:left w:val="nil"/>
              <w:bottom w:val="single" w:sz="8" w:space="0" w:color="auto"/>
              <w:right w:val="single" w:sz="4"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color w:val="000000"/>
                <w:sz w:val="16"/>
                <w:szCs w:val="16"/>
                <w:lang w:eastAsia="en-GB"/>
              </w:rPr>
            </w:pPr>
            <w:r w:rsidRPr="00C03DB4">
              <w:rPr>
                <w:rFonts w:ascii="Calibri" w:eastAsia="Times New Roman" w:hAnsi="Calibri" w:cs="Times New Roman"/>
                <w:color w:val="000000"/>
                <w:sz w:val="16"/>
                <w:szCs w:val="16"/>
                <w:lang w:eastAsia="en-GB"/>
              </w:rPr>
              <w:t> </w:t>
            </w:r>
          </w:p>
        </w:tc>
        <w:tc>
          <w:tcPr>
            <w:tcW w:w="236" w:type="dxa"/>
            <w:gridSpan w:val="2"/>
            <w:tcBorders>
              <w:top w:val="nil"/>
              <w:left w:val="nil"/>
              <w:bottom w:val="single" w:sz="8" w:space="0" w:color="auto"/>
              <w:right w:val="single" w:sz="8" w:space="0" w:color="auto"/>
            </w:tcBorders>
            <w:shd w:val="clear" w:color="000000" w:fill="00B0F0"/>
            <w:noWrap/>
            <w:vAlign w:val="center"/>
            <w:hideMark/>
          </w:tcPr>
          <w:p w:rsidR="00C03DB4" w:rsidRPr="00C03DB4" w:rsidRDefault="00C03DB4" w:rsidP="00C03DB4">
            <w:pPr>
              <w:spacing w:after="0" w:line="240" w:lineRule="auto"/>
              <w:jc w:val="center"/>
              <w:rPr>
                <w:rFonts w:ascii="Calibri" w:eastAsia="Times New Roman" w:hAnsi="Calibri" w:cs="Times New Roman"/>
                <w:b/>
                <w:bCs/>
                <w:color w:val="000000"/>
                <w:sz w:val="16"/>
                <w:szCs w:val="16"/>
                <w:lang w:eastAsia="en-GB"/>
              </w:rPr>
            </w:pPr>
            <w:r w:rsidRPr="00C03DB4">
              <w:rPr>
                <w:rFonts w:ascii="Calibri" w:eastAsia="Times New Roman" w:hAnsi="Calibri" w:cs="Times New Roman"/>
                <w:b/>
                <w:bCs/>
                <w:color w:val="000000"/>
                <w:sz w:val="16"/>
                <w:szCs w:val="16"/>
                <w:lang w:eastAsia="en-GB"/>
              </w:rPr>
              <w:t>1</w:t>
            </w:r>
          </w:p>
        </w:tc>
      </w:tr>
    </w:tbl>
    <w:p w:rsidR="00C03DB4" w:rsidRPr="0006397E" w:rsidRDefault="00C03DB4" w:rsidP="0006397E"/>
    <w:sectPr w:rsidR="00C03DB4" w:rsidRPr="0006397E" w:rsidSect="00C03DB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5A8" w:rsidRDefault="000105A8" w:rsidP="00DC15CF">
      <w:pPr>
        <w:spacing w:after="0" w:line="240" w:lineRule="auto"/>
      </w:pPr>
      <w:r>
        <w:separator/>
      </w:r>
    </w:p>
  </w:endnote>
  <w:endnote w:type="continuationSeparator" w:id="0">
    <w:p w:rsidR="000105A8" w:rsidRDefault="000105A8" w:rsidP="00DC1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CF" w:rsidRDefault="00DC15CF" w:rsidP="00DC15CF">
    <w:pPr>
      <w:pStyle w:val="Footer"/>
      <w:jc w:val="center"/>
    </w:pPr>
    <w:r>
      <w:rPr>
        <w:noProof/>
        <w:lang w:eastAsia="en-GB"/>
      </w:rPr>
      <w:drawing>
        <wp:inline distT="0" distB="0" distL="0" distR="0" wp14:anchorId="60032600" wp14:editId="73D5A810">
          <wp:extent cx="1314011" cy="581025"/>
          <wp:effectExtent l="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057" cy="587236"/>
                  </a:xfrm>
                  <a:prstGeom prst="rect">
                    <a:avLst/>
                  </a:prstGeom>
                  <a:noFill/>
                  <a:ln>
                    <a:noFill/>
                  </a:ln>
                </pic:spPr>
              </pic:pic>
            </a:graphicData>
          </a:graphic>
        </wp:inline>
      </w:drawing>
    </w:r>
    <w:r>
      <w:rPr>
        <w:noProof/>
        <w:lang w:eastAsia="en-GB"/>
      </w:rPr>
      <w:drawing>
        <wp:inline distT="0" distB="0" distL="0" distR="0" wp14:anchorId="48535498" wp14:editId="3FE12F19">
          <wp:extent cx="2143125" cy="611157"/>
          <wp:effectExtent l="0" t="0" r="0" b="0"/>
          <wp:docPr id="2" name="Picture 2" descr="CBMD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MDC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125" cy="611157"/>
                  </a:xfrm>
                  <a:prstGeom prst="rect">
                    <a:avLst/>
                  </a:prstGeom>
                  <a:noFill/>
                  <a:ln>
                    <a:noFill/>
                  </a:ln>
                </pic:spPr>
              </pic:pic>
            </a:graphicData>
          </a:graphic>
        </wp:inline>
      </w:drawing>
    </w:r>
    <w:r>
      <w:tab/>
    </w:r>
    <w:r>
      <w:tab/>
    </w:r>
    <w:r>
      <w:rPr>
        <w:noProof/>
        <w:lang w:eastAsia="en-GB"/>
      </w:rPr>
      <w:drawing>
        <wp:inline distT="0" distB="0" distL="0" distR="0" wp14:anchorId="3CBB4D6E" wp14:editId="78964B46">
          <wp:extent cx="1238250" cy="600075"/>
          <wp:effectExtent l="0" t="0" r="0" b="9525"/>
          <wp:docPr id="7" name="Picture 9" descr="New PWG Logo Marc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PWG Logo March 20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8250" cy="600075"/>
                  </a:xfrm>
                  <a:prstGeom prst="rect">
                    <a:avLst/>
                  </a:prstGeom>
                  <a:noFill/>
                  <a:ln>
                    <a:noFill/>
                  </a:ln>
                </pic:spPr>
              </pic:pic>
            </a:graphicData>
          </a:graphic>
        </wp:inline>
      </w:drawing>
    </w:r>
    <w:r>
      <w:rPr>
        <w:noProof/>
        <w:lang w:eastAsia="en-GB"/>
      </w:rPr>
      <w:drawing>
        <wp:inline distT="0" distB="0" distL="0" distR="0" wp14:anchorId="090B540C" wp14:editId="12A413F3">
          <wp:extent cx="1476375" cy="590550"/>
          <wp:effectExtent l="0" t="0" r="9525" b="0"/>
          <wp:docPr id="8" name="Picture 8" descr="tuoslogo_key_cmyk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oslogo_key_cmyk_h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6375" cy="5905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9A0" w:rsidRDefault="007459A0" w:rsidP="00DC15CF">
    <w:pPr>
      <w:pStyle w:val="Footer"/>
      <w:jc w:val="center"/>
    </w:pPr>
    <w:r>
      <w:t>R2 150728</w:t>
    </w:r>
    <w: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9A0" w:rsidRDefault="007459A0" w:rsidP="00DC15CF">
    <w:pPr>
      <w:pStyle w:val="Footer"/>
      <w:jc w:val="center"/>
    </w:pPr>
    <w:r>
      <w:t>R2 150728</w:t>
    </w:r>
    <w:r>
      <w:ptab w:relativeTo="margin" w:alignment="center" w:leader="none"/>
    </w:r>
    <w:r>
      <w:fldChar w:fldCharType="begin"/>
    </w:r>
    <w:r>
      <w:instrText xml:space="preserve"> PAGE   \* MERGEFORMAT </w:instrText>
    </w:r>
    <w:r>
      <w:fldChar w:fldCharType="separate"/>
    </w:r>
    <w:r w:rsidR="001454B5">
      <w:rPr>
        <w:noProof/>
      </w:rPr>
      <w:t>8</w:t>
    </w:r>
    <w:r>
      <w:rPr>
        <w:noProof/>
      </w:rPr>
      <w:fldChar w:fldCharType="end"/>
    </w:r>
    <w:r>
      <w:ptab w:relativeTo="margin" w:alignment="right" w:leader="none"/>
    </w:r>
    <w:sdt>
      <w:sdtPr>
        <w:id w:val="-1994166364"/>
        <w:temporary/>
        <w:showingPlcHdr/>
      </w:sdtPr>
      <w:sdtEndPr/>
      <w:sdtContent>
        <w:r>
          <w:t>[Type text]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5A8" w:rsidRDefault="000105A8" w:rsidP="00DC15CF">
      <w:pPr>
        <w:spacing w:after="0" w:line="240" w:lineRule="auto"/>
      </w:pPr>
      <w:r>
        <w:separator/>
      </w:r>
    </w:p>
  </w:footnote>
  <w:footnote w:type="continuationSeparator" w:id="0">
    <w:p w:rsidR="000105A8" w:rsidRDefault="000105A8" w:rsidP="00DC1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CF" w:rsidRDefault="00DC15CF" w:rsidP="00DC15CF">
    <w:pPr>
      <w:pStyle w:val="Header"/>
      <w:jc w:val="center"/>
    </w:pPr>
    <w:r>
      <w:rPr>
        <w:noProof/>
        <w:lang w:eastAsia="en-GB"/>
      </w:rPr>
      <w:drawing>
        <wp:inline distT="0" distB="0" distL="0" distR="0" wp14:anchorId="44755368" wp14:editId="640D8768">
          <wp:extent cx="990600" cy="504825"/>
          <wp:effectExtent l="0" t="0" r="0" b="9525"/>
          <wp:docPr id="1" name="Picture 1" descr="http://www.northsearegion.eu/files/user/File/IVB%20Document%20Library/Publicity_and_Communications/Logos_and_Graphical_Guidelines/Logo_with_Byline_and_EU_reference/NSRP_logo.EU.byline.rgb.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thsearegion.eu/files/user/File/IVB%20Document%20Library/Publicity_and_Communications/Logos_and_Graphical_Guidelines/Logo_with_Byline_and_EU_reference/NSRP_logo.EU.byline.rgb.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504825"/>
                  </a:xfrm>
                  <a:prstGeom prst="rect">
                    <a:avLst/>
                  </a:prstGeom>
                  <a:noFill/>
                  <a:ln>
                    <a:noFill/>
                  </a:ln>
                </pic:spPr>
              </pic:pic>
            </a:graphicData>
          </a:graphic>
        </wp:inline>
      </w:drawing>
    </w:r>
    <w:r>
      <w:tab/>
    </w:r>
    <w:r>
      <w:tab/>
    </w:r>
    <w:r>
      <w:tab/>
    </w:r>
    <w:r>
      <w:tab/>
    </w:r>
    <w:r>
      <w:tab/>
    </w:r>
    <w:r>
      <w:rPr>
        <w:noProof/>
        <w:lang w:eastAsia="en-GB"/>
      </w:rPr>
      <w:drawing>
        <wp:inline distT="0" distB="0" distL="0" distR="0" wp14:anchorId="76109DAF" wp14:editId="767E3AE8">
          <wp:extent cx="1914525" cy="5143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9A0" w:rsidRDefault="007459A0" w:rsidP="00DC15CF">
    <w:pPr>
      <w:pStyle w:val="Header"/>
      <w:jc w:val="center"/>
    </w:pP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7B6B07"/>
    <w:multiLevelType w:val="hybridMultilevel"/>
    <w:tmpl w:val="862602C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707D3D30"/>
    <w:multiLevelType w:val="hybridMultilevel"/>
    <w:tmpl w:val="F092BA24"/>
    <w:lvl w:ilvl="0" w:tplc="665C6B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97E"/>
    <w:rsid w:val="000105A8"/>
    <w:rsid w:val="00061628"/>
    <w:rsid w:val="0006397E"/>
    <w:rsid w:val="00102DB5"/>
    <w:rsid w:val="00115147"/>
    <w:rsid w:val="001454B5"/>
    <w:rsid w:val="001E605F"/>
    <w:rsid w:val="002D37B9"/>
    <w:rsid w:val="00361485"/>
    <w:rsid w:val="00435A6B"/>
    <w:rsid w:val="00735EDC"/>
    <w:rsid w:val="007459A0"/>
    <w:rsid w:val="0088149B"/>
    <w:rsid w:val="00C03DB4"/>
    <w:rsid w:val="00C76544"/>
    <w:rsid w:val="00CE714C"/>
    <w:rsid w:val="00D37682"/>
    <w:rsid w:val="00DC15CF"/>
    <w:rsid w:val="00E623ED"/>
    <w:rsid w:val="00EE3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05F"/>
  </w:style>
  <w:style w:type="paragraph" w:styleId="Heading1">
    <w:name w:val="heading 1"/>
    <w:basedOn w:val="Normal"/>
    <w:next w:val="Normal"/>
    <w:link w:val="Heading1Char"/>
    <w:uiPriority w:val="9"/>
    <w:qFormat/>
    <w:rsid w:val="001E60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60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60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60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605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E60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E60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E605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E60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0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60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60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E60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E605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E60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E60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E605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E605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E605F"/>
    <w:pPr>
      <w:spacing w:line="240" w:lineRule="auto"/>
    </w:pPr>
    <w:rPr>
      <w:b/>
      <w:bCs/>
      <w:color w:val="4F81BD" w:themeColor="accent1"/>
      <w:sz w:val="18"/>
      <w:szCs w:val="18"/>
    </w:rPr>
  </w:style>
  <w:style w:type="paragraph" w:styleId="Title">
    <w:name w:val="Title"/>
    <w:basedOn w:val="Normal"/>
    <w:next w:val="Normal"/>
    <w:link w:val="TitleChar"/>
    <w:uiPriority w:val="10"/>
    <w:qFormat/>
    <w:rsid w:val="001E60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60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E60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E605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E605F"/>
    <w:rPr>
      <w:b/>
      <w:bCs/>
    </w:rPr>
  </w:style>
  <w:style w:type="character" w:styleId="Emphasis">
    <w:name w:val="Emphasis"/>
    <w:basedOn w:val="DefaultParagraphFont"/>
    <w:uiPriority w:val="20"/>
    <w:qFormat/>
    <w:rsid w:val="001E605F"/>
    <w:rPr>
      <w:i/>
      <w:iCs/>
    </w:rPr>
  </w:style>
  <w:style w:type="paragraph" w:styleId="NoSpacing">
    <w:name w:val="No Spacing"/>
    <w:link w:val="NoSpacingChar"/>
    <w:uiPriority w:val="1"/>
    <w:qFormat/>
    <w:rsid w:val="001E605F"/>
    <w:pPr>
      <w:spacing w:after="0" w:line="240" w:lineRule="auto"/>
    </w:pPr>
  </w:style>
  <w:style w:type="character" w:customStyle="1" w:styleId="NoSpacingChar">
    <w:name w:val="No Spacing Char"/>
    <w:basedOn w:val="DefaultParagraphFont"/>
    <w:link w:val="NoSpacing"/>
    <w:uiPriority w:val="1"/>
    <w:rsid w:val="001E605F"/>
  </w:style>
  <w:style w:type="paragraph" w:styleId="ListParagraph">
    <w:name w:val="List Paragraph"/>
    <w:basedOn w:val="Normal"/>
    <w:uiPriority w:val="34"/>
    <w:qFormat/>
    <w:rsid w:val="001E605F"/>
    <w:pPr>
      <w:ind w:left="720"/>
      <w:contextualSpacing/>
    </w:pPr>
  </w:style>
  <w:style w:type="paragraph" w:styleId="Quote">
    <w:name w:val="Quote"/>
    <w:basedOn w:val="Normal"/>
    <w:next w:val="Normal"/>
    <w:link w:val="QuoteChar"/>
    <w:uiPriority w:val="29"/>
    <w:qFormat/>
    <w:rsid w:val="001E605F"/>
    <w:rPr>
      <w:i/>
      <w:iCs/>
      <w:color w:val="000000" w:themeColor="text1"/>
    </w:rPr>
  </w:style>
  <w:style w:type="character" w:customStyle="1" w:styleId="QuoteChar">
    <w:name w:val="Quote Char"/>
    <w:basedOn w:val="DefaultParagraphFont"/>
    <w:link w:val="Quote"/>
    <w:uiPriority w:val="29"/>
    <w:rsid w:val="001E605F"/>
    <w:rPr>
      <w:i/>
      <w:iCs/>
      <w:color w:val="000000" w:themeColor="text1"/>
    </w:rPr>
  </w:style>
  <w:style w:type="paragraph" w:styleId="IntenseQuote">
    <w:name w:val="Intense Quote"/>
    <w:basedOn w:val="Normal"/>
    <w:next w:val="Normal"/>
    <w:link w:val="IntenseQuoteChar"/>
    <w:uiPriority w:val="30"/>
    <w:qFormat/>
    <w:rsid w:val="001E60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605F"/>
    <w:rPr>
      <w:b/>
      <w:bCs/>
      <w:i/>
      <w:iCs/>
      <w:color w:val="4F81BD" w:themeColor="accent1"/>
    </w:rPr>
  </w:style>
  <w:style w:type="character" w:styleId="SubtleEmphasis">
    <w:name w:val="Subtle Emphasis"/>
    <w:basedOn w:val="DefaultParagraphFont"/>
    <w:uiPriority w:val="19"/>
    <w:qFormat/>
    <w:rsid w:val="001E605F"/>
    <w:rPr>
      <w:i/>
      <w:iCs/>
      <w:color w:val="808080" w:themeColor="text1" w:themeTint="7F"/>
    </w:rPr>
  </w:style>
  <w:style w:type="character" w:styleId="IntenseEmphasis">
    <w:name w:val="Intense Emphasis"/>
    <w:basedOn w:val="DefaultParagraphFont"/>
    <w:uiPriority w:val="21"/>
    <w:qFormat/>
    <w:rsid w:val="001E605F"/>
    <w:rPr>
      <w:b/>
      <w:bCs/>
      <w:i/>
      <w:iCs/>
      <w:color w:val="4F81BD" w:themeColor="accent1"/>
    </w:rPr>
  </w:style>
  <w:style w:type="character" w:styleId="SubtleReference">
    <w:name w:val="Subtle Reference"/>
    <w:basedOn w:val="DefaultParagraphFont"/>
    <w:uiPriority w:val="31"/>
    <w:qFormat/>
    <w:rsid w:val="001E605F"/>
    <w:rPr>
      <w:smallCaps/>
      <w:color w:val="C0504D" w:themeColor="accent2"/>
      <w:u w:val="single"/>
    </w:rPr>
  </w:style>
  <w:style w:type="character" w:styleId="IntenseReference">
    <w:name w:val="Intense Reference"/>
    <w:basedOn w:val="DefaultParagraphFont"/>
    <w:uiPriority w:val="32"/>
    <w:qFormat/>
    <w:rsid w:val="001E605F"/>
    <w:rPr>
      <w:b/>
      <w:bCs/>
      <w:smallCaps/>
      <w:color w:val="C0504D" w:themeColor="accent2"/>
      <w:spacing w:val="5"/>
      <w:u w:val="single"/>
    </w:rPr>
  </w:style>
  <w:style w:type="character" w:styleId="BookTitle">
    <w:name w:val="Book Title"/>
    <w:basedOn w:val="DefaultParagraphFont"/>
    <w:uiPriority w:val="33"/>
    <w:qFormat/>
    <w:rsid w:val="001E605F"/>
    <w:rPr>
      <w:b/>
      <w:bCs/>
      <w:smallCaps/>
      <w:spacing w:val="5"/>
    </w:rPr>
  </w:style>
  <w:style w:type="paragraph" w:styleId="TOCHeading">
    <w:name w:val="TOC Heading"/>
    <w:basedOn w:val="Heading1"/>
    <w:next w:val="Normal"/>
    <w:uiPriority w:val="39"/>
    <w:semiHidden/>
    <w:unhideWhenUsed/>
    <w:qFormat/>
    <w:rsid w:val="001E605F"/>
    <w:pPr>
      <w:outlineLvl w:val="9"/>
    </w:pPr>
  </w:style>
  <w:style w:type="paragraph" w:customStyle="1" w:styleId="NoSpacing1">
    <w:name w:val="No Spacing1"/>
    <w:next w:val="NoSpacing"/>
    <w:uiPriority w:val="1"/>
    <w:qFormat/>
    <w:rsid w:val="00DC15CF"/>
    <w:pPr>
      <w:spacing w:after="0" w:line="240" w:lineRule="auto"/>
    </w:pPr>
    <w:rPr>
      <w:rFonts w:ascii="Calibri" w:eastAsia="Times New Roman" w:hAnsi="Calibri" w:cs="Times New Roman"/>
      <w:lang w:val="en-US" w:bidi="en-US"/>
    </w:rPr>
  </w:style>
  <w:style w:type="paragraph" w:styleId="Header">
    <w:name w:val="header"/>
    <w:basedOn w:val="Normal"/>
    <w:link w:val="HeaderChar"/>
    <w:uiPriority w:val="99"/>
    <w:unhideWhenUsed/>
    <w:rsid w:val="00DC1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5CF"/>
  </w:style>
  <w:style w:type="paragraph" w:styleId="Footer">
    <w:name w:val="footer"/>
    <w:basedOn w:val="Normal"/>
    <w:link w:val="FooterChar"/>
    <w:uiPriority w:val="99"/>
    <w:unhideWhenUsed/>
    <w:rsid w:val="00DC1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5CF"/>
  </w:style>
  <w:style w:type="paragraph" w:styleId="BalloonText">
    <w:name w:val="Balloon Text"/>
    <w:basedOn w:val="Normal"/>
    <w:link w:val="BalloonTextChar"/>
    <w:uiPriority w:val="99"/>
    <w:semiHidden/>
    <w:unhideWhenUsed/>
    <w:rsid w:val="00DC1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5CF"/>
    <w:rPr>
      <w:rFonts w:ascii="Tahoma" w:hAnsi="Tahoma" w:cs="Tahoma"/>
      <w:sz w:val="16"/>
      <w:szCs w:val="16"/>
    </w:rPr>
  </w:style>
  <w:style w:type="paragraph" w:styleId="TOC1">
    <w:name w:val="toc 1"/>
    <w:basedOn w:val="Normal"/>
    <w:next w:val="Normal"/>
    <w:autoRedefine/>
    <w:uiPriority w:val="39"/>
    <w:unhideWhenUsed/>
    <w:rsid w:val="0088149B"/>
    <w:pPr>
      <w:spacing w:after="100"/>
    </w:pPr>
  </w:style>
  <w:style w:type="paragraph" w:styleId="TOC2">
    <w:name w:val="toc 2"/>
    <w:basedOn w:val="Normal"/>
    <w:next w:val="Normal"/>
    <w:autoRedefine/>
    <w:uiPriority w:val="39"/>
    <w:unhideWhenUsed/>
    <w:rsid w:val="0088149B"/>
    <w:pPr>
      <w:spacing w:after="100"/>
      <w:ind w:left="220"/>
    </w:pPr>
  </w:style>
  <w:style w:type="character" w:styleId="Hyperlink">
    <w:name w:val="Hyperlink"/>
    <w:basedOn w:val="DefaultParagraphFont"/>
    <w:uiPriority w:val="99"/>
    <w:unhideWhenUsed/>
    <w:rsid w:val="008814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05F"/>
  </w:style>
  <w:style w:type="paragraph" w:styleId="Heading1">
    <w:name w:val="heading 1"/>
    <w:basedOn w:val="Normal"/>
    <w:next w:val="Normal"/>
    <w:link w:val="Heading1Char"/>
    <w:uiPriority w:val="9"/>
    <w:qFormat/>
    <w:rsid w:val="001E60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60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60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60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605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E60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E60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E605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E60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0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60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60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E60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E605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E60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E60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E605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E605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E605F"/>
    <w:pPr>
      <w:spacing w:line="240" w:lineRule="auto"/>
    </w:pPr>
    <w:rPr>
      <w:b/>
      <w:bCs/>
      <w:color w:val="4F81BD" w:themeColor="accent1"/>
      <w:sz w:val="18"/>
      <w:szCs w:val="18"/>
    </w:rPr>
  </w:style>
  <w:style w:type="paragraph" w:styleId="Title">
    <w:name w:val="Title"/>
    <w:basedOn w:val="Normal"/>
    <w:next w:val="Normal"/>
    <w:link w:val="TitleChar"/>
    <w:uiPriority w:val="10"/>
    <w:qFormat/>
    <w:rsid w:val="001E60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60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E60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E605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E605F"/>
    <w:rPr>
      <w:b/>
      <w:bCs/>
    </w:rPr>
  </w:style>
  <w:style w:type="character" w:styleId="Emphasis">
    <w:name w:val="Emphasis"/>
    <w:basedOn w:val="DefaultParagraphFont"/>
    <w:uiPriority w:val="20"/>
    <w:qFormat/>
    <w:rsid w:val="001E605F"/>
    <w:rPr>
      <w:i/>
      <w:iCs/>
    </w:rPr>
  </w:style>
  <w:style w:type="paragraph" w:styleId="NoSpacing">
    <w:name w:val="No Spacing"/>
    <w:link w:val="NoSpacingChar"/>
    <w:uiPriority w:val="1"/>
    <w:qFormat/>
    <w:rsid w:val="001E605F"/>
    <w:pPr>
      <w:spacing w:after="0" w:line="240" w:lineRule="auto"/>
    </w:pPr>
  </w:style>
  <w:style w:type="character" w:customStyle="1" w:styleId="NoSpacingChar">
    <w:name w:val="No Spacing Char"/>
    <w:basedOn w:val="DefaultParagraphFont"/>
    <w:link w:val="NoSpacing"/>
    <w:uiPriority w:val="1"/>
    <w:rsid w:val="001E605F"/>
  </w:style>
  <w:style w:type="paragraph" w:styleId="ListParagraph">
    <w:name w:val="List Paragraph"/>
    <w:basedOn w:val="Normal"/>
    <w:uiPriority w:val="34"/>
    <w:qFormat/>
    <w:rsid w:val="001E605F"/>
    <w:pPr>
      <w:ind w:left="720"/>
      <w:contextualSpacing/>
    </w:pPr>
  </w:style>
  <w:style w:type="paragraph" w:styleId="Quote">
    <w:name w:val="Quote"/>
    <w:basedOn w:val="Normal"/>
    <w:next w:val="Normal"/>
    <w:link w:val="QuoteChar"/>
    <w:uiPriority w:val="29"/>
    <w:qFormat/>
    <w:rsid w:val="001E605F"/>
    <w:rPr>
      <w:i/>
      <w:iCs/>
      <w:color w:val="000000" w:themeColor="text1"/>
    </w:rPr>
  </w:style>
  <w:style w:type="character" w:customStyle="1" w:styleId="QuoteChar">
    <w:name w:val="Quote Char"/>
    <w:basedOn w:val="DefaultParagraphFont"/>
    <w:link w:val="Quote"/>
    <w:uiPriority w:val="29"/>
    <w:rsid w:val="001E605F"/>
    <w:rPr>
      <w:i/>
      <w:iCs/>
      <w:color w:val="000000" w:themeColor="text1"/>
    </w:rPr>
  </w:style>
  <w:style w:type="paragraph" w:styleId="IntenseQuote">
    <w:name w:val="Intense Quote"/>
    <w:basedOn w:val="Normal"/>
    <w:next w:val="Normal"/>
    <w:link w:val="IntenseQuoteChar"/>
    <w:uiPriority w:val="30"/>
    <w:qFormat/>
    <w:rsid w:val="001E60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605F"/>
    <w:rPr>
      <w:b/>
      <w:bCs/>
      <w:i/>
      <w:iCs/>
      <w:color w:val="4F81BD" w:themeColor="accent1"/>
    </w:rPr>
  </w:style>
  <w:style w:type="character" w:styleId="SubtleEmphasis">
    <w:name w:val="Subtle Emphasis"/>
    <w:basedOn w:val="DefaultParagraphFont"/>
    <w:uiPriority w:val="19"/>
    <w:qFormat/>
    <w:rsid w:val="001E605F"/>
    <w:rPr>
      <w:i/>
      <w:iCs/>
      <w:color w:val="808080" w:themeColor="text1" w:themeTint="7F"/>
    </w:rPr>
  </w:style>
  <w:style w:type="character" w:styleId="IntenseEmphasis">
    <w:name w:val="Intense Emphasis"/>
    <w:basedOn w:val="DefaultParagraphFont"/>
    <w:uiPriority w:val="21"/>
    <w:qFormat/>
    <w:rsid w:val="001E605F"/>
    <w:rPr>
      <w:b/>
      <w:bCs/>
      <w:i/>
      <w:iCs/>
      <w:color w:val="4F81BD" w:themeColor="accent1"/>
    </w:rPr>
  </w:style>
  <w:style w:type="character" w:styleId="SubtleReference">
    <w:name w:val="Subtle Reference"/>
    <w:basedOn w:val="DefaultParagraphFont"/>
    <w:uiPriority w:val="31"/>
    <w:qFormat/>
    <w:rsid w:val="001E605F"/>
    <w:rPr>
      <w:smallCaps/>
      <w:color w:val="C0504D" w:themeColor="accent2"/>
      <w:u w:val="single"/>
    </w:rPr>
  </w:style>
  <w:style w:type="character" w:styleId="IntenseReference">
    <w:name w:val="Intense Reference"/>
    <w:basedOn w:val="DefaultParagraphFont"/>
    <w:uiPriority w:val="32"/>
    <w:qFormat/>
    <w:rsid w:val="001E605F"/>
    <w:rPr>
      <w:b/>
      <w:bCs/>
      <w:smallCaps/>
      <w:color w:val="C0504D" w:themeColor="accent2"/>
      <w:spacing w:val="5"/>
      <w:u w:val="single"/>
    </w:rPr>
  </w:style>
  <w:style w:type="character" w:styleId="BookTitle">
    <w:name w:val="Book Title"/>
    <w:basedOn w:val="DefaultParagraphFont"/>
    <w:uiPriority w:val="33"/>
    <w:qFormat/>
    <w:rsid w:val="001E605F"/>
    <w:rPr>
      <w:b/>
      <w:bCs/>
      <w:smallCaps/>
      <w:spacing w:val="5"/>
    </w:rPr>
  </w:style>
  <w:style w:type="paragraph" w:styleId="TOCHeading">
    <w:name w:val="TOC Heading"/>
    <w:basedOn w:val="Heading1"/>
    <w:next w:val="Normal"/>
    <w:uiPriority w:val="39"/>
    <w:semiHidden/>
    <w:unhideWhenUsed/>
    <w:qFormat/>
    <w:rsid w:val="001E605F"/>
    <w:pPr>
      <w:outlineLvl w:val="9"/>
    </w:pPr>
  </w:style>
  <w:style w:type="paragraph" w:customStyle="1" w:styleId="NoSpacing1">
    <w:name w:val="No Spacing1"/>
    <w:next w:val="NoSpacing"/>
    <w:uiPriority w:val="1"/>
    <w:qFormat/>
    <w:rsid w:val="00DC15CF"/>
    <w:pPr>
      <w:spacing w:after="0" w:line="240" w:lineRule="auto"/>
    </w:pPr>
    <w:rPr>
      <w:rFonts w:ascii="Calibri" w:eastAsia="Times New Roman" w:hAnsi="Calibri" w:cs="Times New Roman"/>
      <w:lang w:val="en-US" w:bidi="en-US"/>
    </w:rPr>
  </w:style>
  <w:style w:type="paragraph" w:styleId="Header">
    <w:name w:val="header"/>
    <w:basedOn w:val="Normal"/>
    <w:link w:val="HeaderChar"/>
    <w:uiPriority w:val="99"/>
    <w:unhideWhenUsed/>
    <w:rsid w:val="00DC1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5CF"/>
  </w:style>
  <w:style w:type="paragraph" w:styleId="Footer">
    <w:name w:val="footer"/>
    <w:basedOn w:val="Normal"/>
    <w:link w:val="FooterChar"/>
    <w:uiPriority w:val="99"/>
    <w:unhideWhenUsed/>
    <w:rsid w:val="00DC1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5CF"/>
  </w:style>
  <w:style w:type="paragraph" w:styleId="BalloonText">
    <w:name w:val="Balloon Text"/>
    <w:basedOn w:val="Normal"/>
    <w:link w:val="BalloonTextChar"/>
    <w:uiPriority w:val="99"/>
    <w:semiHidden/>
    <w:unhideWhenUsed/>
    <w:rsid w:val="00DC1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5CF"/>
    <w:rPr>
      <w:rFonts w:ascii="Tahoma" w:hAnsi="Tahoma" w:cs="Tahoma"/>
      <w:sz w:val="16"/>
      <w:szCs w:val="16"/>
    </w:rPr>
  </w:style>
  <w:style w:type="paragraph" w:styleId="TOC1">
    <w:name w:val="toc 1"/>
    <w:basedOn w:val="Normal"/>
    <w:next w:val="Normal"/>
    <w:autoRedefine/>
    <w:uiPriority w:val="39"/>
    <w:unhideWhenUsed/>
    <w:rsid w:val="0088149B"/>
    <w:pPr>
      <w:spacing w:after="100"/>
    </w:pPr>
  </w:style>
  <w:style w:type="paragraph" w:styleId="TOC2">
    <w:name w:val="toc 2"/>
    <w:basedOn w:val="Normal"/>
    <w:next w:val="Normal"/>
    <w:autoRedefine/>
    <w:uiPriority w:val="39"/>
    <w:unhideWhenUsed/>
    <w:rsid w:val="0088149B"/>
    <w:pPr>
      <w:spacing w:after="100"/>
      <w:ind w:left="220"/>
    </w:pPr>
  </w:style>
  <w:style w:type="character" w:styleId="Hyperlink">
    <w:name w:val="Hyperlink"/>
    <w:basedOn w:val="DefaultParagraphFont"/>
    <w:uiPriority w:val="99"/>
    <w:unhideWhenUsed/>
    <w:rsid w:val="008814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245464">
      <w:bodyDiv w:val="1"/>
      <w:marLeft w:val="0"/>
      <w:marRight w:val="0"/>
      <w:marTop w:val="0"/>
      <w:marBottom w:val="0"/>
      <w:divBdr>
        <w:top w:val="none" w:sz="0" w:space="0" w:color="auto"/>
        <w:left w:val="none" w:sz="0" w:space="0" w:color="auto"/>
        <w:bottom w:val="none" w:sz="0" w:space="0" w:color="auto"/>
        <w:right w:val="none" w:sz="0" w:space="0" w:color="auto"/>
      </w:divBdr>
    </w:div>
    <w:div w:id="61278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ABD00-AE83-486F-9474-7C379FC59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3391</Words>
  <Characters>19334</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22680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ci1jrb</dc:creator>
  <cp:lastModifiedBy>Newton, Andy</cp:lastModifiedBy>
  <cp:revision>2</cp:revision>
  <dcterms:created xsi:type="dcterms:W3CDTF">2015-08-05T14:51:00Z</dcterms:created>
  <dcterms:modified xsi:type="dcterms:W3CDTF">2015-08-05T14:51:00Z</dcterms:modified>
</cp:coreProperties>
</file>