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36" w:rsidRDefault="00D37D36" w:rsidP="00D37D36">
      <w:pPr>
        <w:pStyle w:val="Heading1"/>
        <w:jc w:val="center"/>
      </w:pPr>
      <w:bookmarkStart w:id="0" w:name="_GoBack"/>
      <w:bookmarkEnd w:id="0"/>
    </w:p>
    <w:p w:rsidR="00D37D36" w:rsidRDefault="00D37D36" w:rsidP="00D37D36">
      <w:pPr>
        <w:pStyle w:val="Heading1"/>
        <w:jc w:val="center"/>
      </w:pPr>
    </w:p>
    <w:p w:rsidR="00D37D36" w:rsidRDefault="00D37D36" w:rsidP="00D37D36">
      <w:pPr>
        <w:pStyle w:val="Heading1"/>
        <w:jc w:val="center"/>
      </w:pPr>
    </w:p>
    <w:p w:rsidR="00D37D36" w:rsidRDefault="00D37D36" w:rsidP="00D37D36">
      <w:pPr>
        <w:pStyle w:val="Heading1"/>
        <w:jc w:val="center"/>
      </w:pPr>
      <w:r>
        <w:t xml:space="preserve">Annex 16: </w:t>
      </w:r>
    </w:p>
    <w:p w:rsidR="00D37D36" w:rsidRDefault="00D37D36" w:rsidP="00D37D36">
      <w:pPr>
        <w:pStyle w:val="Heading1"/>
        <w:jc w:val="center"/>
      </w:pPr>
    </w:p>
    <w:p w:rsidR="00D37D36" w:rsidRDefault="00D37D36" w:rsidP="00D37D36">
      <w:pPr>
        <w:pStyle w:val="Heading1"/>
        <w:jc w:val="center"/>
      </w:pPr>
    </w:p>
    <w:p w:rsidR="00D37D36" w:rsidRDefault="00D37D36" w:rsidP="00D37D36">
      <w:pPr>
        <w:pStyle w:val="Heading1"/>
        <w:jc w:val="center"/>
      </w:pPr>
      <w:r>
        <w:t>Communication with property owners to raise awareness of raising awareness of climate change, it’s mitigation and adaptation</w:t>
      </w:r>
    </w:p>
    <w:p w:rsidR="00D37D36" w:rsidRDefault="00D37D36" w:rsidP="00D37D36">
      <w:pPr>
        <w:jc w:val="center"/>
      </w:pPr>
    </w:p>
    <w:p w:rsidR="00D37D36" w:rsidRDefault="00D37D36" w:rsidP="00D37D36"/>
    <w:p w:rsidR="00D37D36" w:rsidRDefault="00D37D36" w:rsidP="00D37D36"/>
    <w:p w:rsidR="00D37D36" w:rsidRDefault="00D37D36" w:rsidP="00D37D36"/>
    <w:p w:rsidR="00D37D36" w:rsidRDefault="00D37D36" w:rsidP="00D37D36"/>
    <w:p w:rsidR="00D37D36" w:rsidRDefault="00D37D36" w:rsidP="00D37D36"/>
    <w:p w:rsidR="00D37D36" w:rsidRPr="00346215" w:rsidRDefault="00D37D36" w:rsidP="00D37D36">
      <w:pPr>
        <w:pStyle w:val="Heading1"/>
        <w:jc w:val="center"/>
      </w:pPr>
      <w:r>
        <w:t>July 2015</w:t>
      </w:r>
    </w:p>
    <w:p w:rsidR="00D37D36" w:rsidRPr="00296AC1" w:rsidRDefault="00D37D36" w:rsidP="00D37D36"/>
    <w:p w:rsidR="00D37D36" w:rsidRDefault="00D37D36" w:rsidP="00D37D36"/>
    <w:p w:rsidR="00D37D36" w:rsidRDefault="00D37D36" w:rsidP="00D37D36"/>
    <w:p w:rsidR="00D37D36" w:rsidRDefault="00D37D36" w:rsidP="00D37D36">
      <w:proofErr w:type="gramStart"/>
      <w:r>
        <w:t>John Blanksby, Pennine Water Group, Department of Civil and Structural Engineering, University of Sheffield.</w:t>
      </w:r>
      <w:proofErr w:type="gramEnd"/>
    </w:p>
    <w:p w:rsidR="00D37D36" w:rsidRDefault="00D37D36">
      <w:pPr>
        <w:rPr>
          <w:rFonts w:asciiTheme="majorHAnsi" w:eastAsiaTheme="majorEastAsia" w:hAnsiTheme="majorHAnsi" w:cstheme="majorBidi"/>
          <w:b/>
          <w:bCs/>
          <w:color w:val="365F91" w:themeColor="accent1" w:themeShade="BF"/>
          <w:sz w:val="28"/>
          <w:szCs w:val="28"/>
        </w:rPr>
      </w:pPr>
      <w:r>
        <w:br w:type="page"/>
      </w:r>
    </w:p>
    <w:p w:rsidR="00D37682" w:rsidRDefault="00415973" w:rsidP="00356C33">
      <w:pPr>
        <w:pStyle w:val="Heading1"/>
      </w:pPr>
      <w:r>
        <w:lastRenderedPageBreak/>
        <w:t>Communication with property owners to raise awareness of raising awareness of climate change, it’s mitigation and adaptation</w:t>
      </w:r>
    </w:p>
    <w:p w:rsidR="00C36103" w:rsidRDefault="00102723" w:rsidP="00356C33">
      <w:r>
        <w:t>Owners of existing properties are a large group and together they are a potentially major force in the delivery of climate change mitigation and adaptation. Some property owners, such as organisations which have a large estate to manage have the staff and resources to raise their own awareness about the issues and how to mitigate them or to adapt to them</w:t>
      </w:r>
      <w:r w:rsidR="00C36103">
        <w:t>. These include:</w:t>
      </w:r>
    </w:p>
    <w:p w:rsidR="00C36103" w:rsidRDefault="00C36103" w:rsidP="00C36103">
      <w:pPr>
        <w:pStyle w:val="ListParagraph"/>
        <w:numPr>
          <w:ilvl w:val="0"/>
          <w:numId w:val="2"/>
        </w:numPr>
      </w:pPr>
      <w:r>
        <w:t xml:space="preserve">Public service providers (Local authority, health service etc.) </w:t>
      </w:r>
    </w:p>
    <w:p w:rsidR="00C36103" w:rsidRPr="00882BE9" w:rsidRDefault="00C36103" w:rsidP="00C36103">
      <w:pPr>
        <w:pStyle w:val="ListParagraph"/>
        <w:numPr>
          <w:ilvl w:val="0"/>
          <w:numId w:val="2"/>
        </w:numPr>
        <w:rPr>
          <w:snapToGrid w:val="0"/>
        </w:rPr>
      </w:pPr>
      <w:r w:rsidRPr="00882BE9">
        <w:rPr>
          <w:snapToGrid w:val="0"/>
        </w:rPr>
        <w:t>Social housing providers and communities</w:t>
      </w:r>
    </w:p>
    <w:p w:rsidR="00C36103" w:rsidRDefault="00C36103" w:rsidP="00C36103">
      <w:pPr>
        <w:pStyle w:val="ListParagraph"/>
        <w:numPr>
          <w:ilvl w:val="0"/>
          <w:numId w:val="2"/>
        </w:numPr>
        <w:rPr>
          <w:snapToGrid w:val="0"/>
        </w:rPr>
      </w:pPr>
      <w:r>
        <w:rPr>
          <w:snapToGrid w:val="0"/>
        </w:rPr>
        <w:t>The managers of commercial estates</w:t>
      </w:r>
    </w:p>
    <w:p w:rsidR="009F38F9" w:rsidRDefault="009F38F9" w:rsidP="009F38F9">
      <w:pPr>
        <w:pStyle w:val="ListParagraph"/>
        <w:numPr>
          <w:ilvl w:val="0"/>
          <w:numId w:val="2"/>
        </w:numPr>
        <w:rPr>
          <w:snapToGrid w:val="0"/>
        </w:rPr>
      </w:pPr>
      <w:r>
        <w:rPr>
          <w:snapToGrid w:val="0"/>
        </w:rPr>
        <w:t>Developers constructing new properties</w:t>
      </w:r>
    </w:p>
    <w:p w:rsidR="009F38F9" w:rsidRDefault="009F38F9" w:rsidP="009F38F9">
      <w:pPr>
        <w:pStyle w:val="ListParagraph"/>
        <w:numPr>
          <w:ilvl w:val="0"/>
          <w:numId w:val="2"/>
        </w:numPr>
        <w:rPr>
          <w:snapToGrid w:val="0"/>
        </w:rPr>
      </w:pPr>
      <w:r>
        <w:rPr>
          <w:snapToGrid w:val="0"/>
        </w:rPr>
        <w:t>Builders working on existing properties for</w:t>
      </w:r>
    </w:p>
    <w:p w:rsidR="009F38F9" w:rsidRPr="00C36103" w:rsidRDefault="009F38F9" w:rsidP="009F38F9">
      <w:pPr>
        <w:pStyle w:val="ListParagraph"/>
        <w:numPr>
          <w:ilvl w:val="1"/>
          <w:numId w:val="2"/>
        </w:numPr>
        <w:rPr>
          <w:snapToGrid w:val="0"/>
        </w:rPr>
      </w:pPr>
      <w:r>
        <w:t>Public service providers</w:t>
      </w:r>
    </w:p>
    <w:p w:rsidR="009F38F9" w:rsidRPr="00882BE9" w:rsidRDefault="009F38F9" w:rsidP="009F38F9">
      <w:pPr>
        <w:pStyle w:val="ListParagraph"/>
        <w:numPr>
          <w:ilvl w:val="1"/>
          <w:numId w:val="2"/>
        </w:numPr>
        <w:rPr>
          <w:snapToGrid w:val="0"/>
        </w:rPr>
      </w:pPr>
      <w:r w:rsidRPr="00882BE9">
        <w:rPr>
          <w:snapToGrid w:val="0"/>
        </w:rPr>
        <w:t>Social housing providers and communities</w:t>
      </w:r>
    </w:p>
    <w:p w:rsidR="009F38F9" w:rsidRPr="009F38F9" w:rsidRDefault="009F38F9" w:rsidP="009F38F9">
      <w:pPr>
        <w:pStyle w:val="ListParagraph"/>
        <w:numPr>
          <w:ilvl w:val="1"/>
          <w:numId w:val="2"/>
        </w:numPr>
        <w:rPr>
          <w:snapToGrid w:val="0"/>
        </w:rPr>
      </w:pPr>
      <w:r>
        <w:rPr>
          <w:snapToGrid w:val="0"/>
        </w:rPr>
        <w:t>Managed estates</w:t>
      </w:r>
    </w:p>
    <w:p w:rsidR="009F38F9" w:rsidRDefault="00C36103" w:rsidP="00356C33">
      <w:r>
        <w:t xml:space="preserve">However, </w:t>
      </w:r>
      <w:r w:rsidR="00102723">
        <w:t>others are more limited in their capacity</w:t>
      </w:r>
      <w:r w:rsidR="009F38F9">
        <w:t xml:space="preserve"> to increase their awareness and capacity</w:t>
      </w:r>
      <w:r w:rsidR="00102723">
        <w:t>.</w:t>
      </w:r>
      <w:r w:rsidR="009F38F9">
        <w:t xml:space="preserve"> These include:</w:t>
      </w:r>
    </w:p>
    <w:p w:rsidR="009F38F9" w:rsidRDefault="009F38F9" w:rsidP="009F38F9">
      <w:pPr>
        <w:pStyle w:val="ListParagraph"/>
        <w:numPr>
          <w:ilvl w:val="0"/>
          <w:numId w:val="2"/>
        </w:numPr>
      </w:pPr>
      <w:r>
        <w:t>The owners and occupiers of private rental sector residential properties as part of a community</w:t>
      </w:r>
    </w:p>
    <w:p w:rsidR="009F38F9" w:rsidRDefault="009F38F9" w:rsidP="009F38F9">
      <w:pPr>
        <w:pStyle w:val="ListParagraph"/>
        <w:numPr>
          <w:ilvl w:val="0"/>
          <w:numId w:val="2"/>
        </w:numPr>
      </w:pPr>
      <w:r>
        <w:rPr>
          <w:snapToGrid w:val="0"/>
        </w:rPr>
        <w:t>Owner, occupiers of p</w:t>
      </w:r>
      <w:r w:rsidRPr="00882BE9">
        <w:rPr>
          <w:snapToGrid w:val="0"/>
        </w:rPr>
        <w:t>rivate residential  properties as part of a community</w:t>
      </w:r>
    </w:p>
    <w:p w:rsidR="009F38F9" w:rsidRDefault="009F38F9" w:rsidP="009F38F9">
      <w:pPr>
        <w:pStyle w:val="ListParagraph"/>
        <w:numPr>
          <w:ilvl w:val="0"/>
          <w:numId w:val="2"/>
        </w:numPr>
        <w:rPr>
          <w:snapToGrid w:val="0"/>
        </w:rPr>
      </w:pPr>
      <w:r>
        <w:rPr>
          <w:snapToGrid w:val="0"/>
        </w:rPr>
        <w:t>Owners and occupiers of l</w:t>
      </w:r>
      <w:r w:rsidRPr="00882BE9">
        <w:rPr>
          <w:snapToGrid w:val="0"/>
        </w:rPr>
        <w:t>one residential properties</w:t>
      </w:r>
    </w:p>
    <w:p w:rsidR="009F38F9" w:rsidRDefault="009F38F9" w:rsidP="009F38F9">
      <w:pPr>
        <w:pStyle w:val="ListParagraph"/>
        <w:numPr>
          <w:ilvl w:val="0"/>
          <w:numId w:val="2"/>
        </w:numPr>
        <w:rPr>
          <w:snapToGrid w:val="0"/>
        </w:rPr>
      </w:pPr>
      <w:r>
        <w:rPr>
          <w:snapToGrid w:val="0"/>
        </w:rPr>
        <w:t>Owner, occupiers of commercial properties</w:t>
      </w:r>
    </w:p>
    <w:p w:rsidR="009F38F9" w:rsidRDefault="009F38F9" w:rsidP="009F38F9">
      <w:pPr>
        <w:pStyle w:val="ListParagraph"/>
        <w:numPr>
          <w:ilvl w:val="0"/>
          <w:numId w:val="2"/>
        </w:numPr>
        <w:rPr>
          <w:snapToGrid w:val="0"/>
        </w:rPr>
      </w:pPr>
      <w:r>
        <w:rPr>
          <w:snapToGrid w:val="0"/>
        </w:rPr>
        <w:t>Occupiers of rental business properties</w:t>
      </w:r>
    </w:p>
    <w:p w:rsidR="009F38F9" w:rsidRDefault="009F38F9" w:rsidP="009F38F9">
      <w:pPr>
        <w:pStyle w:val="ListParagraph"/>
        <w:numPr>
          <w:ilvl w:val="0"/>
          <w:numId w:val="2"/>
        </w:numPr>
        <w:rPr>
          <w:snapToGrid w:val="0"/>
        </w:rPr>
      </w:pPr>
      <w:r>
        <w:rPr>
          <w:snapToGrid w:val="0"/>
        </w:rPr>
        <w:t>Builders working on existing properties for</w:t>
      </w:r>
    </w:p>
    <w:p w:rsidR="009F38F9" w:rsidRDefault="009F38F9" w:rsidP="009F38F9">
      <w:pPr>
        <w:pStyle w:val="ListParagraph"/>
        <w:numPr>
          <w:ilvl w:val="1"/>
          <w:numId w:val="2"/>
        </w:numPr>
      </w:pPr>
      <w:r>
        <w:t>The owners and occupiers of private rental sector residential properties as part of a community</w:t>
      </w:r>
    </w:p>
    <w:p w:rsidR="009F38F9" w:rsidRDefault="009F38F9" w:rsidP="009F38F9">
      <w:pPr>
        <w:pStyle w:val="ListParagraph"/>
        <w:numPr>
          <w:ilvl w:val="1"/>
          <w:numId w:val="2"/>
        </w:numPr>
      </w:pPr>
      <w:r>
        <w:rPr>
          <w:snapToGrid w:val="0"/>
        </w:rPr>
        <w:t>Owner, occupiers of p</w:t>
      </w:r>
      <w:r w:rsidRPr="00882BE9">
        <w:rPr>
          <w:snapToGrid w:val="0"/>
        </w:rPr>
        <w:t>rivate residential  properties as part of a community</w:t>
      </w:r>
    </w:p>
    <w:p w:rsidR="009F38F9" w:rsidRDefault="009F38F9" w:rsidP="009F38F9">
      <w:pPr>
        <w:pStyle w:val="ListParagraph"/>
        <w:numPr>
          <w:ilvl w:val="1"/>
          <w:numId w:val="2"/>
        </w:numPr>
        <w:rPr>
          <w:snapToGrid w:val="0"/>
        </w:rPr>
      </w:pPr>
      <w:r>
        <w:rPr>
          <w:snapToGrid w:val="0"/>
        </w:rPr>
        <w:t>Owners and occupiers of l</w:t>
      </w:r>
      <w:r w:rsidRPr="00882BE9">
        <w:rPr>
          <w:snapToGrid w:val="0"/>
        </w:rPr>
        <w:t>one residential properties</w:t>
      </w:r>
    </w:p>
    <w:p w:rsidR="009F38F9" w:rsidRDefault="009F38F9" w:rsidP="009F38F9">
      <w:pPr>
        <w:pStyle w:val="ListParagraph"/>
        <w:numPr>
          <w:ilvl w:val="1"/>
          <w:numId w:val="2"/>
        </w:numPr>
        <w:rPr>
          <w:snapToGrid w:val="0"/>
        </w:rPr>
      </w:pPr>
      <w:r>
        <w:rPr>
          <w:snapToGrid w:val="0"/>
        </w:rPr>
        <w:t>Owner, occupiers of commercial properties</w:t>
      </w:r>
    </w:p>
    <w:p w:rsidR="009F38F9" w:rsidRPr="009F38F9" w:rsidRDefault="009F38F9" w:rsidP="009F38F9">
      <w:pPr>
        <w:pStyle w:val="ListParagraph"/>
        <w:numPr>
          <w:ilvl w:val="1"/>
          <w:numId w:val="2"/>
        </w:numPr>
        <w:rPr>
          <w:snapToGrid w:val="0"/>
        </w:rPr>
      </w:pPr>
      <w:r>
        <w:rPr>
          <w:snapToGrid w:val="0"/>
        </w:rPr>
        <w:t>Occupiers of rental business properties</w:t>
      </w:r>
    </w:p>
    <w:p w:rsidR="00356C33" w:rsidRDefault="0077696A" w:rsidP="00356C33">
      <w:r>
        <w:t>H</w:t>
      </w:r>
      <w:r w:rsidR="00102723">
        <w:t>ow we can best communicate with these property owners and occupiers</w:t>
      </w:r>
      <w:r>
        <w:t xml:space="preserve"> </w:t>
      </w:r>
      <w:r w:rsidR="009F38F9">
        <w:t xml:space="preserve">who are remote from information that will </w:t>
      </w:r>
      <w:r w:rsidR="00102723">
        <w:t>help</w:t>
      </w:r>
      <w:r w:rsidR="009F38F9">
        <w:t xml:space="preserve"> them</w:t>
      </w:r>
      <w:r w:rsidR="00102723">
        <w:t xml:space="preserve"> mainstream measures that will be more beneficial to them in terms of their financial, physical and mental wellbeing</w:t>
      </w:r>
      <w:r w:rsidR="009F38F9">
        <w:t>?</w:t>
      </w:r>
    </w:p>
    <w:p w:rsidR="0077696A" w:rsidRDefault="0077696A" w:rsidP="00356C33">
      <w:r>
        <w:t>Also how can we best communicate with the small building contractors and sole traders who are equally remote from the information?</w:t>
      </w:r>
    </w:p>
    <w:p w:rsidR="0077696A" w:rsidRDefault="0077696A" w:rsidP="0077696A">
      <w:pPr>
        <w:pStyle w:val="Heading2"/>
      </w:pPr>
      <w:r>
        <w:t xml:space="preserve">The scale of the problem: </w:t>
      </w:r>
      <w:r w:rsidRPr="0077696A">
        <w:t>A focus on UK Housing – National Office of Statistics 2013</w:t>
      </w:r>
    </w:p>
    <w:p w:rsidR="0077696A" w:rsidRDefault="0077696A" w:rsidP="0077696A">
      <w:r>
        <w:t xml:space="preserve">The following table shows the changes in household ownership and occupancy </w:t>
      </w:r>
      <w:r w:rsidR="00D37D36">
        <w:t xml:space="preserve">(in thousands) </w:t>
      </w:r>
      <w:r>
        <w:t>between 2004 and 2013. The changes are also shown graphically</w:t>
      </w:r>
    </w:p>
    <w:tbl>
      <w:tblPr>
        <w:tblW w:w="9229" w:type="dxa"/>
        <w:tblInd w:w="-5" w:type="dxa"/>
        <w:tblCellMar>
          <w:left w:w="0" w:type="dxa"/>
          <w:right w:w="0" w:type="dxa"/>
        </w:tblCellMar>
        <w:tblLook w:val="0600" w:firstRow="0" w:lastRow="0" w:firstColumn="0" w:lastColumn="0" w:noHBand="1" w:noVBand="1"/>
      </w:tblPr>
      <w:tblGrid>
        <w:gridCol w:w="724"/>
        <w:gridCol w:w="1008"/>
        <w:gridCol w:w="1134"/>
        <w:gridCol w:w="976"/>
        <w:gridCol w:w="1276"/>
        <w:gridCol w:w="850"/>
        <w:gridCol w:w="851"/>
        <w:gridCol w:w="1134"/>
        <w:gridCol w:w="1276"/>
      </w:tblGrid>
      <w:tr w:rsidR="00D37D36" w:rsidRPr="0077696A" w:rsidTr="00D37D36">
        <w:trPr>
          <w:trHeight w:val="765"/>
        </w:trPr>
        <w:tc>
          <w:tcPr>
            <w:tcW w:w="724" w:type="dxa"/>
            <w:tcBorders>
              <w:top w:val="single" w:sz="8" w:space="0" w:color="FFFFFF"/>
              <w:left w:val="single" w:sz="8" w:space="0" w:color="FFFFFF"/>
              <w:bottom w:val="single" w:sz="8" w:space="0" w:color="FFFFFF"/>
              <w:right w:val="single" w:sz="8" w:space="0" w:color="FFFFFF"/>
            </w:tcBorders>
            <w:shd w:val="clear" w:color="auto" w:fill="E9EDF4"/>
          </w:tcPr>
          <w:p w:rsidR="00D37D36" w:rsidRDefault="00D37D36" w:rsidP="0077696A">
            <w:pPr>
              <w:pStyle w:val="NoSpacing"/>
              <w:jc w:val="center"/>
            </w:pPr>
          </w:p>
          <w:p w:rsidR="00D37D36" w:rsidRPr="0077696A" w:rsidRDefault="00D37D36" w:rsidP="0077696A">
            <w:pPr>
              <w:pStyle w:val="NoSpacing"/>
              <w:jc w:val="center"/>
            </w:pPr>
            <w:r>
              <w:t>Year</w:t>
            </w: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Owned outright</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Buying with mortgage</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Owner Occupied</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Council/ Housing association</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Privately rented</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t xml:space="preserve">Total </w:t>
            </w:r>
            <w:r w:rsidRPr="0077696A">
              <w:t>Rented</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All households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77696A">
            <w:pPr>
              <w:pStyle w:val="NoSpacing"/>
              <w:jc w:val="center"/>
            </w:pPr>
            <w:r w:rsidRPr="0077696A">
              <w:t>House construction</w:t>
            </w:r>
          </w:p>
        </w:tc>
      </w:tr>
      <w:tr w:rsidR="00D37D36" w:rsidRPr="0077696A" w:rsidTr="00D37D36">
        <w:trPr>
          <w:trHeight w:val="255"/>
        </w:trPr>
        <w:tc>
          <w:tcPr>
            <w:tcW w:w="724" w:type="dxa"/>
            <w:tcBorders>
              <w:top w:val="single" w:sz="8" w:space="0" w:color="FFFFFF"/>
              <w:left w:val="single" w:sz="8" w:space="0" w:color="FFFFFF"/>
              <w:bottom w:val="single" w:sz="8" w:space="0" w:color="FFFFFF"/>
              <w:right w:val="single" w:sz="8" w:space="0" w:color="FFFFFF"/>
            </w:tcBorders>
            <w:shd w:val="clear" w:color="auto" w:fill="E9EDF4"/>
          </w:tcPr>
          <w:p w:rsidR="00D37D36" w:rsidRPr="0077696A" w:rsidRDefault="00D37D36" w:rsidP="00D37D36">
            <w:pPr>
              <w:pStyle w:val="NoSpacing"/>
              <w:jc w:val="center"/>
            </w:pPr>
            <w:r>
              <w:t>2004</w:t>
            </w: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7,515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20,911</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28,427</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5,291</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4,702</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t xml:space="preserve">  </w:t>
            </w:r>
            <w:r w:rsidRPr="0077696A">
              <w:t>9,993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38,448</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20</w:t>
            </w:r>
            <w:r>
              <w:t>7</w:t>
            </w:r>
          </w:p>
        </w:tc>
      </w:tr>
      <w:tr w:rsidR="00D37D36" w:rsidRPr="0077696A" w:rsidTr="00D37D36">
        <w:trPr>
          <w:trHeight w:val="255"/>
        </w:trPr>
        <w:tc>
          <w:tcPr>
            <w:tcW w:w="724" w:type="dxa"/>
            <w:tcBorders>
              <w:top w:val="single" w:sz="8" w:space="0" w:color="FFFFFF"/>
              <w:left w:val="single" w:sz="8" w:space="0" w:color="FFFFFF"/>
              <w:bottom w:val="single" w:sz="8" w:space="0" w:color="FFFFFF"/>
              <w:right w:val="single" w:sz="8" w:space="0" w:color="FFFFFF"/>
            </w:tcBorders>
            <w:shd w:val="clear" w:color="auto" w:fill="E9EDF4"/>
          </w:tcPr>
          <w:p w:rsidR="00D37D36" w:rsidRPr="0077696A" w:rsidRDefault="00D37D36" w:rsidP="00D37D36">
            <w:pPr>
              <w:pStyle w:val="NoSpacing"/>
              <w:jc w:val="center"/>
            </w:pPr>
            <w:r>
              <w:t>2013</w:t>
            </w: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8,158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17,567</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25,725</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5,976</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8,594</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14,569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40,329</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D37D36" w:rsidRPr="0077696A" w:rsidRDefault="00D37D36" w:rsidP="00D37D36">
            <w:pPr>
              <w:pStyle w:val="NoSpacing"/>
              <w:jc w:val="center"/>
            </w:pPr>
            <w:r w:rsidRPr="0077696A">
              <w:t>14</w:t>
            </w:r>
            <w:r>
              <w:t>1</w:t>
            </w:r>
          </w:p>
        </w:tc>
      </w:tr>
    </w:tbl>
    <w:p w:rsidR="0077696A" w:rsidRDefault="0077696A" w:rsidP="0077696A"/>
    <w:p w:rsidR="0077696A" w:rsidRPr="0077696A" w:rsidRDefault="0077696A" w:rsidP="0077696A">
      <w:r>
        <w:rPr>
          <w:noProof/>
          <w:lang w:eastAsia="en-GB"/>
        </w:rPr>
        <w:drawing>
          <wp:inline distT="0" distB="0" distL="0" distR="0" wp14:anchorId="67FAB153" wp14:editId="7C82A03F">
            <wp:extent cx="5731510" cy="3528308"/>
            <wp:effectExtent l="0" t="0" r="2159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FF8" w:rsidRDefault="003551F6" w:rsidP="0077696A">
      <w:pPr>
        <w:rPr>
          <w:snapToGrid w:val="0"/>
        </w:rPr>
      </w:pPr>
      <w:r>
        <w:rPr>
          <w:snapToGrid w:val="0"/>
        </w:rPr>
        <w:t xml:space="preserve">The figures show that the majority of homes are owner occupied, although there has been a decline in owner occupancy, mainly through a reduction in the number of people buying with mortgages. At the same time there has been a largely equivalent of the number of people living in private rented accommodation, whereas there has only been a small increase in the number of council and housing association rented properties. Over the period, the annual number of new houses built has declined and at 2013 levels it would take significantly more than 200 years to replace the current housing stock. This means that if the current stock is to be improved to face the challenges of climate change, </w:t>
      </w:r>
      <w:r w:rsidR="00037BA1">
        <w:rPr>
          <w:snapToGrid w:val="0"/>
        </w:rPr>
        <w:t>more than 25 million owner occupiers and more than 8 million occupiers of private rented accommodation need to be reached. Alongside the need to raise the awareness of this audience to climate change, there are also other issues such as the depletion of finite resources</w:t>
      </w:r>
      <w:r w:rsidR="008C2FF8">
        <w:rPr>
          <w:snapToGrid w:val="0"/>
        </w:rPr>
        <w:t>.</w:t>
      </w:r>
    </w:p>
    <w:p w:rsidR="00C36103" w:rsidRDefault="008C2FF8" w:rsidP="0077696A">
      <w:pPr>
        <w:rPr>
          <w:snapToGrid w:val="0"/>
        </w:rPr>
      </w:pPr>
      <w:r>
        <w:rPr>
          <w:snapToGrid w:val="0"/>
        </w:rPr>
        <w:t xml:space="preserve">How can we reach 34 – 35 million householders and enthuse them about things that many of them don’t want to know about. It seems unlikely that we can get to them all. Stopping smoking in public buildings and the wearing of seatbelts didn’t happen voluntarily. IT took political leadership and Government Interventions to make things happen. </w:t>
      </w:r>
    </w:p>
    <w:p w:rsidR="00300BC4" w:rsidRDefault="00300BC4" w:rsidP="00300BC4">
      <w:pPr>
        <w:pStyle w:val="Heading2"/>
        <w:rPr>
          <w:snapToGrid w:val="0"/>
        </w:rPr>
      </w:pPr>
      <w:r>
        <w:rPr>
          <w:snapToGrid w:val="0"/>
        </w:rPr>
        <w:t>Approaches to communication</w:t>
      </w:r>
    </w:p>
    <w:p w:rsidR="003B72F9" w:rsidRDefault="008C2FF8" w:rsidP="008C2FF8">
      <w:pPr>
        <w:rPr>
          <w:snapToGrid w:val="0"/>
        </w:rPr>
      </w:pPr>
      <w:r>
        <w:rPr>
          <w:snapToGrid w:val="0"/>
        </w:rPr>
        <w:t xml:space="preserve">One idea would to be to communicate with people who are actually doing something to their homes. This will reduce the number of people to communicate with at any one time. In </w:t>
      </w:r>
      <w:proofErr w:type="spellStart"/>
      <w:r>
        <w:rPr>
          <w:snapToGrid w:val="0"/>
        </w:rPr>
        <w:t>oreder</w:t>
      </w:r>
      <w:proofErr w:type="spellEnd"/>
      <w:r>
        <w:rPr>
          <w:snapToGrid w:val="0"/>
        </w:rPr>
        <w:t xml:space="preserve"> to </w:t>
      </w:r>
      <w:r>
        <w:rPr>
          <w:snapToGrid w:val="0"/>
        </w:rPr>
        <w:lastRenderedPageBreak/>
        <w:t xml:space="preserve">achieve this it seems to make sense to </w:t>
      </w:r>
      <w:r w:rsidR="00AA14D8" w:rsidRPr="008C2FF8">
        <w:rPr>
          <w:snapToGrid w:val="0"/>
        </w:rPr>
        <w:t>identify who those people are likely to contact about what they are about to do and are who likely to be able to influence their choices</w:t>
      </w:r>
      <w:r>
        <w:rPr>
          <w:snapToGrid w:val="0"/>
        </w:rPr>
        <w:t>.</w:t>
      </w:r>
    </w:p>
    <w:p w:rsidR="003B72F9" w:rsidRDefault="00AA14D8" w:rsidP="008C2FF8">
      <w:pPr>
        <w:rPr>
          <w:snapToGrid w:val="0"/>
        </w:rPr>
      </w:pPr>
      <w:r w:rsidRPr="008C2FF8">
        <w:rPr>
          <w:snapToGrid w:val="0"/>
        </w:rPr>
        <w:t>There are times when local authorities are in contact with householders and so they have a role, but this is by no means always the case.</w:t>
      </w:r>
      <w:r w:rsidR="008C2FF8">
        <w:rPr>
          <w:snapToGrid w:val="0"/>
        </w:rPr>
        <w:t xml:space="preserve"> </w:t>
      </w:r>
      <w:r w:rsidRPr="008C2FF8">
        <w:rPr>
          <w:snapToGrid w:val="0"/>
        </w:rPr>
        <w:t>Utility suppliers, (gas, electricity and water) also have the potential to and do communicate with householders.</w:t>
      </w:r>
      <w:r w:rsidR="008C2FF8">
        <w:rPr>
          <w:snapToGrid w:val="0"/>
        </w:rPr>
        <w:t xml:space="preserve"> </w:t>
      </w:r>
      <w:r w:rsidRPr="008C2FF8">
        <w:rPr>
          <w:snapToGrid w:val="0"/>
        </w:rPr>
        <w:t xml:space="preserve">Another group includes </w:t>
      </w:r>
      <w:proofErr w:type="gramStart"/>
      <w:r w:rsidRPr="008C2FF8">
        <w:rPr>
          <w:snapToGrid w:val="0"/>
        </w:rPr>
        <w:t>builders</w:t>
      </w:r>
      <w:proofErr w:type="gramEnd"/>
      <w:r w:rsidRPr="008C2FF8">
        <w:rPr>
          <w:snapToGrid w:val="0"/>
        </w:rPr>
        <w:t xml:space="preserve"> merchants and DIY and home improvement stores who communicate with householders directly or through the builders that they employ.</w:t>
      </w:r>
    </w:p>
    <w:p w:rsidR="003B72F9" w:rsidRDefault="00AA14D8" w:rsidP="008C2FF8">
      <w:pPr>
        <w:rPr>
          <w:snapToGrid w:val="0"/>
        </w:rPr>
      </w:pPr>
      <w:r w:rsidRPr="008C2FF8">
        <w:rPr>
          <w:snapToGrid w:val="0"/>
        </w:rPr>
        <w:t>Each of these groups of organisations take</w:t>
      </w:r>
      <w:r w:rsidR="00300BC4">
        <w:rPr>
          <w:snapToGrid w:val="0"/>
        </w:rPr>
        <w:t>s</w:t>
      </w:r>
      <w:r w:rsidRPr="008C2FF8">
        <w:rPr>
          <w:snapToGrid w:val="0"/>
        </w:rPr>
        <w:t xml:space="preserve"> steps to promote climate change adaptation and mitigation and sustainable use of resources, but they do it in their own way.</w:t>
      </w:r>
      <w:r w:rsidR="008C2FF8">
        <w:rPr>
          <w:snapToGrid w:val="0"/>
        </w:rPr>
        <w:t xml:space="preserve"> </w:t>
      </w:r>
      <w:r w:rsidRPr="008C2FF8">
        <w:rPr>
          <w:snapToGrid w:val="0"/>
        </w:rPr>
        <w:t>Perhaps the most effective examples that exist in the UK are the pursuit of energy efficiency in new buildings through Government Regulation and the voluntary, Government sponsored “Green Deal” which aims to improve energy efficiency in existing stock, but outside these there is little co-ordination in a competitive commercial market in which maximising the shareholders’ wealth is the prime objective of directors.</w:t>
      </w:r>
    </w:p>
    <w:p w:rsidR="00300BC4" w:rsidRDefault="00300BC4" w:rsidP="00300BC4">
      <w:r>
        <w:rPr>
          <w:snapToGrid w:val="0"/>
        </w:rPr>
        <w:t>A brief review on m</w:t>
      </w:r>
      <w:r>
        <w:t xml:space="preserve">ainstreaming sustainability and climate adaptation and mitigation through the DIY and construction material and component supply sector in England accompanies this note. This review concludes that although information on sustainable products is available on the web sites of the national suppliers and on some regional/local SME suppliers, the competitive nature of the sector ensures that there is an emphasis on price on the product pages and in store. This means that the potential benefits of more sustainable products are not fully implanted in customers’ minds. Thus there is little positive promotion of sustainability. The exceptions to this are energy efficiency where there is regulation and sustainable sourcing of timber. Without some form of intervention it is unlikely that this will change as sales are dependent on price. Therefore, the promotion of sustainability needs to be promoted in some other way. It cannot be left to the suppliers to do </w:t>
      </w:r>
      <w:proofErr w:type="gramStart"/>
      <w:r>
        <w:t>this</w:t>
      </w:r>
      <w:proofErr w:type="gramEnd"/>
      <w:r>
        <w:t xml:space="preserve"> themselves as it flies in the face of survival in a competitive market, especially in the challenging conditions of the post-crash economy. </w:t>
      </w:r>
    </w:p>
    <w:p w:rsidR="00300BC4" w:rsidRPr="003F3704" w:rsidRDefault="00300BC4" w:rsidP="00300BC4">
      <w:pPr>
        <w:pStyle w:val="Heading2"/>
      </w:pPr>
      <w:r>
        <w:t>Improving the situation</w:t>
      </w:r>
    </w:p>
    <w:p w:rsidR="003B72F9" w:rsidRDefault="00300BC4" w:rsidP="00300BC4">
      <w:r>
        <w:t xml:space="preserve">Possibly the </w:t>
      </w:r>
      <w:r w:rsidR="00AA14D8" w:rsidRPr="00300BC4">
        <w:t xml:space="preserve">most effective way would be </w:t>
      </w:r>
      <w:r>
        <w:t xml:space="preserve">to develop </w:t>
      </w:r>
      <w:r w:rsidR="00AA14D8" w:rsidRPr="00300BC4">
        <w:t>a national political consensus which in effect depoliticises the problem. Although there will always be differences in detail, common acceptance of the need to do tackle the problem would enable an appropriate degree of regulation to be put in place, which does not cause problems in a competitive commercial market.</w:t>
      </w:r>
    </w:p>
    <w:p w:rsidR="003B72F9" w:rsidRPr="00300BC4" w:rsidRDefault="00AA14D8" w:rsidP="00300BC4">
      <w:r w:rsidRPr="00300BC4">
        <w:t xml:space="preserve">Failing that, it </w:t>
      </w:r>
      <w:r w:rsidR="00300BC4">
        <w:t>might</w:t>
      </w:r>
      <w:r w:rsidRPr="00300BC4">
        <w:t xml:space="preserve"> make sense for the organisations that can influence the decisions of householders to work with each other to develop a common approach to informing householders about the issues and how to take steps to deal with them in cost effective ways</w:t>
      </w:r>
    </w:p>
    <w:p w:rsidR="00AA14D8" w:rsidRPr="00300BC4" w:rsidRDefault="00AA14D8" w:rsidP="00300BC4">
      <w:r w:rsidRPr="00300BC4">
        <w:t xml:space="preserve">Whether this is dealt with at local, regional or national scale or a combination of all three needs to be considered, but unless something is done, then householders will largely remain in ignorance of the need to adapt and mitigate with respect to climate change and to be more sustainable in the use of finite resources. That being the case they will </w:t>
      </w:r>
      <w:r w:rsidR="00300BC4">
        <w:t xml:space="preserve">simply continue to </w:t>
      </w:r>
      <w:r w:rsidRPr="00300BC4">
        <w:t>be driven by economic factors.</w:t>
      </w:r>
    </w:p>
    <w:sectPr w:rsidR="00AA14D8" w:rsidRPr="00300B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F3" w:rsidRDefault="005046F3" w:rsidP="00D37D36">
      <w:pPr>
        <w:spacing w:after="0" w:line="240" w:lineRule="auto"/>
      </w:pPr>
      <w:r>
        <w:separator/>
      </w:r>
    </w:p>
  </w:endnote>
  <w:endnote w:type="continuationSeparator" w:id="0">
    <w:p w:rsidR="005046F3" w:rsidRDefault="005046F3" w:rsidP="00D3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36" w:rsidRDefault="00D37D36" w:rsidP="00D37D36">
    <w:pPr>
      <w:pStyle w:val="Footer"/>
      <w:jc w:val="center"/>
    </w:pPr>
    <w:r w:rsidRPr="00D43B76">
      <w:rPr>
        <w:noProof/>
        <w:lang w:eastAsia="en-GB"/>
      </w:rPr>
      <w:drawing>
        <wp:inline distT="0" distB="0" distL="0" distR="0" wp14:anchorId="1847F6A2" wp14:editId="1BCD6717">
          <wp:extent cx="1095375" cy="409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3322" name="Picture 10"/>
                  <pic:cNvPicPr>
                    <a:picLocks noChangeAspect="1" noChangeArrowheads="1"/>
                  </pic:cNvPicPr>
                </pic:nvPicPr>
                <pic:blipFill>
                  <a:blip r:embed="rId1" cstate="print"/>
                  <a:srcRect/>
                  <a:stretch>
                    <a:fillRect/>
                  </a:stretch>
                </pic:blipFill>
                <pic:spPr bwMode="auto">
                  <a:xfrm>
                    <a:off x="0" y="0"/>
                    <a:ext cx="1098507" cy="410746"/>
                  </a:xfrm>
                  <a:prstGeom prst="rect">
                    <a:avLst/>
                  </a:prstGeom>
                  <a:noFill/>
                  <a:ln w="9525">
                    <a:noFill/>
                    <a:miter lim="800000"/>
                    <a:headEnd/>
                    <a:tailEnd/>
                  </a:ln>
                </pic:spPr>
              </pic:pic>
            </a:graphicData>
          </a:graphic>
        </wp:inline>
      </w:drawing>
    </w:r>
    <w:r>
      <w:tab/>
    </w:r>
    <w:r>
      <w:tab/>
    </w:r>
    <w:r w:rsidRPr="00D43B76">
      <w:rPr>
        <w:noProof/>
        <w:lang w:eastAsia="en-GB"/>
      </w:rPr>
      <w:drawing>
        <wp:inline distT="0" distB="0" distL="0" distR="0" wp14:anchorId="451A66FE" wp14:editId="20EE01C8">
          <wp:extent cx="962025" cy="447675"/>
          <wp:effectExtent l="0" t="0" r="0" b="9525"/>
          <wp:docPr id="9" name="Picture 9" descr="New PWG Logo March 2013"/>
          <wp:cNvGraphicFramePr/>
          <a:graphic xmlns:a="http://schemas.openxmlformats.org/drawingml/2006/main">
            <a:graphicData uri="http://schemas.openxmlformats.org/drawingml/2006/picture">
              <pic:pic xmlns:pic="http://schemas.openxmlformats.org/drawingml/2006/picture">
                <pic:nvPicPr>
                  <pic:cNvPr id="13324" name="Picture 1" descr="New PWG Logo March 2013"/>
                  <pic:cNvPicPr>
                    <a:picLocks noChangeAspect="1" noChangeArrowheads="1"/>
                  </pic:cNvPicPr>
                </pic:nvPicPr>
                <pic:blipFill>
                  <a:blip r:embed="rId2" cstate="print"/>
                  <a:srcRect/>
                  <a:stretch>
                    <a:fillRect/>
                  </a:stretch>
                </pic:blipFill>
                <pic:spPr bwMode="auto">
                  <a:xfrm>
                    <a:off x="0" y="0"/>
                    <a:ext cx="965228" cy="449166"/>
                  </a:xfrm>
                  <a:prstGeom prst="rect">
                    <a:avLst/>
                  </a:prstGeom>
                  <a:noFill/>
                  <a:ln w="9525">
                    <a:noFill/>
                    <a:miter lim="800000"/>
                    <a:headEnd/>
                    <a:tailEnd/>
                  </a:ln>
                </pic:spPr>
              </pic:pic>
            </a:graphicData>
          </a:graphic>
        </wp:inline>
      </w:drawing>
    </w:r>
    <w:r w:rsidRPr="00D43B76">
      <w:rPr>
        <w:noProof/>
        <w:lang w:eastAsia="en-GB"/>
      </w:rPr>
      <w:drawing>
        <wp:inline distT="0" distB="0" distL="0" distR="0" wp14:anchorId="65C71186" wp14:editId="20F8208B">
          <wp:extent cx="1104900" cy="485775"/>
          <wp:effectExtent l="0" t="0" r="0" b="9525"/>
          <wp:docPr id="10" name="Picture 8" descr="C:\Documents and Settings\ci1jrb\My Documents\Admin\Logos\White background Print\tuoslogo_key_cmyk_hi.jpg"/>
          <wp:cNvGraphicFramePr/>
          <a:graphic xmlns:a="http://schemas.openxmlformats.org/drawingml/2006/main">
            <a:graphicData uri="http://schemas.openxmlformats.org/drawingml/2006/picture">
              <pic:pic xmlns:pic="http://schemas.openxmlformats.org/drawingml/2006/picture">
                <pic:nvPicPr>
                  <pic:cNvPr id="13323" name="Picture 11" descr="C:\Documents and Settings\ci1jrb\My Documents\Admin\Logos\White background Print\tuoslogo_key_cmyk_hi.jpg"/>
                  <pic:cNvPicPr>
                    <a:picLocks noChangeAspect="1" noChangeArrowheads="1"/>
                  </pic:cNvPicPr>
                </pic:nvPicPr>
                <pic:blipFill>
                  <a:blip r:embed="rId3" cstate="print"/>
                  <a:srcRect/>
                  <a:stretch>
                    <a:fillRect/>
                  </a:stretch>
                </pic:blipFill>
                <pic:spPr bwMode="auto">
                  <a:xfrm>
                    <a:off x="0" y="0"/>
                    <a:ext cx="1104362" cy="48553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F3" w:rsidRDefault="005046F3" w:rsidP="00D37D36">
      <w:pPr>
        <w:spacing w:after="0" w:line="240" w:lineRule="auto"/>
      </w:pPr>
      <w:r>
        <w:separator/>
      </w:r>
    </w:p>
  </w:footnote>
  <w:footnote w:type="continuationSeparator" w:id="0">
    <w:p w:rsidR="005046F3" w:rsidRDefault="005046F3" w:rsidP="00D3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36" w:rsidRDefault="00D37D36" w:rsidP="00D37D36">
    <w:pPr>
      <w:pStyle w:val="Header"/>
      <w:jc w:val="center"/>
    </w:pPr>
    <w:r w:rsidRPr="00525638">
      <w:rPr>
        <w:noProof/>
        <w:lang w:eastAsia="en-GB"/>
      </w:rPr>
      <w:drawing>
        <wp:inline distT="0" distB="0" distL="0" distR="0" wp14:anchorId="62DFFDC3" wp14:editId="46171754">
          <wp:extent cx="1800225" cy="381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 cstate="print"/>
                  <a:srcRect/>
                  <a:stretch>
                    <a:fillRect/>
                  </a:stretch>
                </pic:blipFill>
                <pic:spPr bwMode="auto">
                  <a:xfrm>
                    <a:off x="0" y="0"/>
                    <a:ext cx="1804773" cy="381962"/>
                  </a:xfrm>
                  <a:prstGeom prst="rect">
                    <a:avLst/>
                  </a:prstGeom>
                  <a:noFill/>
                  <a:ln w="9525">
                    <a:noFill/>
                    <a:miter lim="800000"/>
                    <a:headEnd/>
                    <a:tailEnd/>
                  </a:ln>
                  <a:effectLst/>
                </pic:spPr>
              </pic:pic>
            </a:graphicData>
          </a:graphic>
        </wp:inline>
      </w:drawing>
    </w:r>
    <w:r>
      <w:tab/>
    </w:r>
    <w:r>
      <w:tab/>
    </w:r>
    <w:r w:rsidRPr="00D43B76">
      <w:rPr>
        <w:noProof/>
        <w:lang w:eastAsia="en-GB"/>
      </w:rPr>
      <w:drawing>
        <wp:inline distT="0" distB="0" distL="0" distR="0" wp14:anchorId="1ED48DCE" wp14:editId="5B50EC21">
          <wp:extent cx="876300" cy="476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2" cstate="print"/>
                  <a:srcRect/>
                  <a:stretch>
                    <a:fillRect/>
                  </a:stretch>
                </pic:blipFill>
                <pic:spPr bwMode="auto">
                  <a:xfrm>
                    <a:off x="0" y="0"/>
                    <a:ext cx="878512" cy="477452"/>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EC"/>
    <w:multiLevelType w:val="hybridMultilevel"/>
    <w:tmpl w:val="F31E8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C572C"/>
    <w:multiLevelType w:val="hybridMultilevel"/>
    <w:tmpl w:val="D272DBDE"/>
    <w:lvl w:ilvl="0" w:tplc="7B1EAEC6">
      <w:start w:val="1"/>
      <w:numFmt w:val="bullet"/>
      <w:lvlText w:val="•"/>
      <w:lvlJc w:val="left"/>
      <w:pPr>
        <w:tabs>
          <w:tab w:val="num" w:pos="720"/>
        </w:tabs>
        <w:ind w:left="720" w:hanging="360"/>
      </w:pPr>
      <w:rPr>
        <w:rFonts w:ascii="Arial" w:hAnsi="Arial" w:hint="default"/>
      </w:rPr>
    </w:lvl>
    <w:lvl w:ilvl="1" w:tplc="6F4EA4B6" w:tentative="1">
      <w:start w:val="1"/>
      <w:numFmt w:val="bullet"/>
      <w:lvlText w:val="•"/>
      <w:lvlJc w:val="left"/>
      <w:pPr>
        <w:tabs>
          <w:tab w:val="num" w:pos="1440"/>
        </w:tabs>
        <w:ind w:left="1440" w:hanging="360"/>
      </w:pPr>
      <w:rPr>
        <w:rFonts w:ascii="Arial" w:hAnsi="Arial" w:hint="default"/>
      </w:rPr>
    </w:lvl>
    <w:lvl w:ilvl="2" w:tplc="5B78A2C2" w:tentative="1">
      <w:start w:val="1"/>
      <w:numFmt w:val="bullet"/>
      <w:lvlText w:val="•"/>
      <w:lvlJc w:val="left"/>
      <w:pPr>
        <w:tabs>
          <w:tab w:val="num" w:pos="2160"/>
        </w:tabs>
        <w:ind w:left="2160" w:hanging="360"/>
      </w:pPr>
      <w:rPr>
        <w:rFonts w:ascii="Arial" w:hAnsi="Arial" w:hint="default"/>
      </w:rPr>
    </w:lvl>
    <w:lvl w:ilvl="3" w:tplc="8216E410" w:tentative="1">
      <w:start w:val="1"/>
      <w:numFmt w:val="bullet"/>
      <w:lvlText w:val="•"/>
      <w:lvlJc w:val="left"/>
      <w:pPr>
        <w:tabs>
          <w:tab w:val="num" w:pos="2880"/>
        </w:tabs>
        <w:ind w:left="2880" w:hanging="360"/>
      </w:pPr>
      <w:rPr>
        <w:rFonts w:ascii="Arial" w:hAnsi="Arial" w:hint="default"/>
      </w:rPr>
    </w:lvl>
    <w:lvl w:ilvl="4" w:tplc="F9AE4A10" w:tentative="1">
      <w:start w:val="1"/>
      <w:numFmt w:val="bullet"/>
      <w:lvlText w:val="•"/>
      <w:lvlJc w:val="left"/>
      <w:pPr>
        <w:tabs>
          <w:tab w:val="num" w:pos="3600"/>
        </w:tabs>
        <w:ind w:left="3600" w:hanging="360"/>
      </w:pPr>
      <w:rPr>
        <w:rFonts w:ascii="Arial" w:hAnsi="Arial" w:hint="default"/>
      </w:rPr>
    </w:lvl>
    <w:lvl w:ilvl="5" w:tplc="9C088E52" w:tentative="1">
      <w:start w:val="1"/>
      <w:numFmt w:val="bullet"/>
      <w:lvlText w:val="•"/>
      <w:lvlJc w:val="left"/>
      <w:pPr>
        <w:tabs>
          <w:tab w:val="num" w:pos="4320"/>
        </w:tabs>
        <w:ind w:left="4320" w:hanging="360"/>
      </w:pPr>
      <w:rPr>
        <w:rFonts w:ascii="Arial" w:hAnsi="Arial" w:hint="default"/>
      </w:rPr>
    </w:lvl>
    <w:lvl w:ilvl="6" w:tplc="5C9C5A5C" w:tentative="1">
      <w:start w:val="1"/>
      <w:numFmt w:val="bullet"/>
      <w:lvlText w:val="•"/>
      <w:lvlJc w:val="left"/>
      <w:pPr>
        <w:tabs>
          <w:tab w:val="num" w:pos="5040"/>
        </w:tabs>
        <w:ind w:left="5040" w:hanging="360"/>
      </w:pPr>
      <w:rPr>
        <w:rFonts w:ascii="Arial" w:hAnsi="Arial" w:hint="default"/>
      </w:rPr>
    </w:lvl>
    <w:lvl w:ilvl="7" w:tplc="D2BCEE28" w:tentative="1">
      <w:start w:val="1"/>
      <w:numFmt w:val="bullet"/>
      <w:lvlText w:val="•"/>
      <w:lvlJc w:val="left"/>
      <w:pPr>
        <w:tabs>
          <w:tab w:val="num" w:pos="5760"/>
        </w:tabs>
        <w:ind w:left="5760" w:hanging="360"/>
      </w:pPr>
      <w:rPr>
        <w:rFonts w:ascii="Arial" w:hAnsi="Arial" w:hint="default"/>
      </w:rPr>
    </w:lvl>
    <w:lvl w:ilvl="8" w:tplc="04F6C140" w:tentative="1">
      <w:start w:val="1"/>
      <w:numFmt w:val="bullet"/>
      <w:lvlText w:val="•"/>
      <w:lvlJc w:val="left"/>
      <w:pPr>
        <w:tabs>
          <w:tab w:val="num" w:pos="6480"/>
        </w:tabs>
        <w:ind w:left="6480" w:hanging="360"/>
      </w:pPr>
      <w:rPr>
        <w:rFonts w:ascii="Arial" w:hAnsi="Arial" w:hint="default"/>
      </w:rPr>
    </w:lvl>
  </w:abstractNum>
  <w:abstractNum w:abstractNumId="2">
    <w:nsid w:val="25E1568D"/>
    <w:multiLevelType w:val="hybridMultilevel"/>
    <w:tmpl w:val="6ADE5C4E"/>
    <w:lvl w:ilvl="0" w:tplc="A9D4ACB0">
      <w:start w:val="1"/>
      <w:numFmt w:val="bullet"/>
      <w:lvlText w:val="•"/>
      <w:lvlJc w:val="left"/>
      <w:pPr>
        <w:tabs>
          <w:tab w:val="num" w:pos="720"/>
        </w:tabs>
        <w:ind w:left="720" w:hanging="360"/>
      </w:pPr>
      <w:rPr>
        <w:rFonts w:ascii="Arial" w:hAnsi="Arial" w:hint="default"/>
      </w:rPr>
    </w:lvl>
    <w:lvl w:ilvl="1" w:tplc="878A4E52" w:tentative="1">
      <w:start w:val="1"/>
      <w:numFmt w:val="bullet"/>
      <w:lvlText w:val="•"/>
      <w:lvlJc w:val="left"/>
      <w:pPr>
        <w:tabs>
          <w:tab w:val="num" w:pos="1440"/>
        </w:tabs>
        <w:ind w:left="1440" w:hanging="360"/>
      </w:pPr>
      <w:rPr>
        <w:rFonts w:ascii="Arial" w:hAnsi="Arial" w:hint="default"/>
      </w:rPr>
    </w:lvl>
    <w:lvl w:ilvl="2" w:tplc="1958A1EA" w:tentative="1">
      <w:start w:val="1"/>
      <w:numFmt w:val="bullet"/>
      <w:lvlText w:val="•"/>
      <w:lvlJc w:val="left"/>
      <w:pPr>
        <w:tabs>
          <w:tab w:val="num" w:pos="2160"/>
        </w:tabs>
        <w:ind w:left="2160" w:hanging="360"/>
      </w:pPr>
      <w:rPr>
        <w:rFonts w:ascii="Arial" w:hAnsi="Arial" w:hint="default"/>
      </w:rPr>
    </w:lvl>
    <w:lvl w:ilvl="3" w:tplc="406CC55E" w:tentative="1">
      <w:start w:val="1"/>
      <w:numFmt w:val="bullet"/>
      <w:lvlText w:val="•"/>
      <w:lvlJc w:val="left"/>
      <w:pPr>
        <w:tabs>
          <w:tab w:val="num" w:pos="2880"/>
        </w:tabs>
        <w:ind w:left="2880" w:hanging="360"/>
      </w:pPr>
      <w:rPr>
        <w:rFonts w:ascii="Arial" w:hAnsi="Arial" w:hint="default"/>
      </w:rPr>
    </w:lvl>
    <w:lvl w:ilvl="4" w:tplc="61F20756" w:tentative="1">
      <w:start w:val="1"/>
      <w:numFmt w:val="bullet"/>
      <w:lvlText w:val="•"/>
      <w:lvlJc w:val="left"/>
      <w:pPr>
        <w:tabs>
          <w:tab w:val="num" w:pos="3600"/>
        </w:tabs>
        <w:ind w:left="3600" w:hanging="360"/>
      </w:pPr>
      <w:rPr>
        <w:rFonts w:ascii="Arial" w:hAnsi="Arial" w:hint="default"/>
      </w:rPr>
    </w:lvl>
    <w:lvl w:ilvl="5" w:tplc="C310F664" w:tentative="1">
      <w:start w:val="1"/>
      <w:numFmt w:val="bullet"/>
      <w:lvlText w:val="•"/>
      <w:lvlJc w:val="left"/>
      <w:pPr>
        <w:tabs>
          <w:tab w:val="num" w:pos="4320"/>
        </w:tabs>
        <w:ind w:left="4320" w:hanging="360"/>
      </w:pPr>
      <w:rPr>
        <w:rFonts w:ascii="Arial" w:hAnsi="Arial" w:hint="default"/>
      </w:rPr>
    </w:lvl>
    <w:lvl w:ilvl="6" w:tplc="FD18490E" w:tentative="1">
      <w:start w:val="1"/>
      <w:numFmt w:val="bullet"/>
      <w:lvlText w:val="•"/>
      <w:lvlJc w:val="left"/>
      <w:pPr>
        <w:tabs>
          <w:tab w:val="num" w:pos="5040"/>
        </w:tabs>
        <w:ind w:left="5040" w:hanging="360"/>
      </w:pPr>
      <w:rPr>
        <w:rFonts w:ascii="Arial" w:hAnsi="Arial" w:hint="default"/>
      </w:rPr>
    </w:lvl>
    <w:lvl w:ilvl="7" w:tplc="025CE55C" w:tentative="1">
      <w:start w:val="1"/>
      <w:numFmt w:val="bullet"/>
      <w:lvlText w:val="•"/>
      <w:lvlJc w:val="left"/>
      <w:pPr>
        <w:tabs>
          <w:tab w:val="num" w:pos="5760"/>
        </w:tabs>
        <w:ind w:left="5760" w:hanging="360"/>
      </w:pPr>
      <w:rPr>
        <w:rFonts w:ascii="Arial" w:hAnsi="Arial" w:hint="default"/>
      </w:rPr>
    </w:lvl>
    <w:lvl w:ilvl="8" w:tplc="B656A41E" w:tentative="1">
      <w:start w:val="1"/>
      <w:numFmt w:val="bullet"/>
      <w:lvlText w:val="•"/>
      <w:lvlJc w:val="left"/>
      <w:pPr>
        <w:tabs>
          <w:tab w:val="num" w:pos="6480"/>
        </w:tabs>
        <w:ind w:left="6480" w:hanging="360"/>
      </w:pPr>
      <w:rPr>
        <w:rFonts w:ascii="Arial" w:hAnsi="Arial" w:hint="default"/>
      </w:rPr>
    </w:lvl>
  </w:abstractNum>
  <w:abstractNum w:abstractNumId="3">
    <w:nsid w:val="2DA95DE6"/>
    <w:multiLevelType w:val="hybridMultilevel"/>
    <w:tmpl w:val="F3AC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91562"/>
    <w:multiLevelType w:val="hybridMultilevel"/>
    <w:tmpl w:val="F8E2B672"/>
    <w:lvl w:ilvl="0" w:tplc="D6D67C18">
      <w:start w:val="1"/>
      <w:numFmt w:val="bullet"/>
      <w:lvlText w:val="•"/>
      <w:lvlJc w:val="left"/>
      <w:pPr>
        <w:tabs>
          <w:tab w:val="num" w:pos="720"/>
        </w:tabs>
        <w:ind w:left="720" w:hanging="360"/>
      </w:pPr>
      <w:rPr>
        <w:rFonts w:ascii="Arial" w:hAnsi="Arial" w:hint="default"/>
      </w:rPr>
    </w:lvl>
    <w:lvl w:ilvl="1" w:tplc="2F3A2DE0" w:tentative="1">
      <w:start w:val="1"/>
      <w:numFmt w:val="bullet"/>
      <w:lvlText w:val="•"/>
      <w:lvlJc w:val="left"/>
      <w:pPr>
        <w:tabs>
          <w:tab w:val="num" w:pos="1440"/>
        </w:tabs>
        <w:ind w:left="1440" w:hanging="360"/>
      </w:pPr>
      <w:rPr>
        <w:rFonts w:ascii="Arial" w:hAnsi="Arial" w:hint="default"/>
      </w:rPr>
    </w:lvl>
    <w:lvl w:ilvl="2" w:tplc="4A6433BA" w:tentative="1">
      <w:start w:val="1"/>
      <w:numFmt w:val="bullet"/>
      <w:lvlText w:val="•"/>
      <w:lvlJc w:val="left"/>
      <w:pPr>
        <w:tabs>
          <w:tab w:val="num" w:pos="2160"/>
        </w:tabs>
        <w:ind w:left="2160" w:hanging="360"/>
      </w:pPr>
      <w:rPr>
        <w:rFonts w:ascii="Arial" w:hAnsi="Arial" w:hint="default"/>
      </w:rPr>
    </w:lvl>
    <w:lvl w:ilvl="3" w:tplc="BEB84C58" w:tentative="1">
      <w:start w:val="1"/>
      <w:numFmt w:val="bullet"/>
      <w:lvlText w:val="•"/>
      <w:lvlJc w:val="left"/>
      <w:pPr>
        <w:tabs>
          <w:tab w:val="num" w:pos="2880"/>
        </w:tabs>
        <w:ind w:left="2880" w:hanging="360"/>
      </w:pPr>
      <w:rPr>
        <w:rFonts w:ascii="Arial" w:hAnsi="Arial" w:hint="default"/>
      </w:rPr>
    </w:lvl>
    <w:lvl w:ilvl="4" w:tplc="5AA00C08" w:tentative="1">
      <w:start w:val="1"/>
      <w:numFmt w:val="bullet"/>
      <w:lvlText w:val="•"/>
      <w:lvlJc w:val="left"/>
      <w:pPr>
        <w:tabs>
          <w:tab w:val="num" w:pos="3600"/>
        </w:tabs>
        <w:ind w:left="3600" w:hanging="360"/>
      </w:pPr>
      <w:rPr>
        <w:rFonts w:ascii="Arial" w:hAnsi="Arial" w:hint="default"/>
      </w:rPr>
    </w:lvl>
    <w:lvl w:ilvl="5" w:tplc="EC8C63AC" w:tentative="1">
      <w:start w:val="1"/>
      <w:numFmt w:val="bullet"/>
      <w:lvlText w:val="•"/>
      <w:lvlJc w:val="left"/>
      <w:pPr>
        <w:tabs>
          <w:tab w:val="num" w:pos="4320"/>
        </w:tabs>
        <w:ind w:left="4320" w:hanging="360"/>
      </w:pPr>
      <w:rPr>
        <w:rFonts w:ascii="Arial" w:hAnsi="Arial" w:hint="default"/>
      </w:rPr>
    </w:lvl>
    <w:lvl w:ilvl="6" w:tplc="1494E128" w:tentative="1">
      <w:start w:val="1"/>
      <w:numFmt w:val="bullet"/>
      <w:lvlText w:val="•"/>
      <w:lvlJc w:val="left"/>
      <w:pPr>
        <w:tabs>
          <w:tab w:val="num" w:pos="5040"/>
        </w:tabs>
        <w:ind w:left="5040" w:hanging="360"/>
      </w:pPr>
      <w:rPr>
        <w:rFonts w:ascii="Arial" w:hAnsi="Arial" w:hint="default"/>
      </w:rPr>
    </w:lvl>
    <w:lvl w:ilvl="7" w:tplc="3A32E38E" w:tentative="1">
      <w:start w:val="1"/>
      <w:numFmt w:val="bullet"/>
      <w:lvlText w:val="•"/>
      <w:lvlJc w:val="left"/>
      <w:pPr>
        <w:tabs>
          <w:tab w:val="num" w:pos="5760"/>
        </w:tabs>
        <w:ind w:left="5760" w:hanging="360"/>
      </w:pPr>
      <w:rPr>
        <w:rFonts w:ascii="Arial" w:hAnsi="Arial" w:hint="default"/>
      </w:rPr>
    </w:lvl>
    <w:lvl w:ilvl="8" w:tplc="4DA88A8A" w:tentative="1">
      <w:start w:val="1"/>
      <w:numFmt w:val="bullet"/>
      <w:lvlText w:val="•"/>
      <w:lvlJc w:val="left"/>
      <w:pPr>
        <w:tabs>
          <w:tab w:val="num" w:pos="6480"/>
        </w:tabs>
        <w:ind w:left="6480" w:hanging="360"/>
      </w:pPr>
      <w:rPr>
        <w:rFonts w:ascii="Arial" w:hAnsi="Arial" w:hint="default"/>
      </w:rPr>
    </w:lvl>
  </w:abstractNum>
  <w:abstractNum w:abstractNumId="5">
    <w:nsid w:val="4E792D00"/>
    <w:multiLevelType w:val="hybridMultilevel"/>
    <w:tmpl w:val="1F2EAF92"/>
    <w:lvl w:ilvl="0" w:tplc="275084FC">
      <w:start w:val="1"/>
      <w:numFmt w:val="bullet"/>
      <w:lvlText w:val="•"/>
      <w:lvlJc w:val="left"/>
      <w:pPr>
        <w:tabs>
          <w:tab w:val="num" w:pos="720"/>
        </w:tabs>
        <w:ind w:left="720" w:hanging="360"/>
      </w:pPr>
      <w:rPr>
        <w:rFonts w:ascii="Arial" w:hAnsi="Arial" w:hint="default"/>
      </w:rPr>
    </w:lvl>
    <w:lvl w:ilvl="1" w:tplc="24B23C1A" w:tentative="1">
      <w:start w:val="1"/>
      <w:numFmt w:val="bullet"/>
      <w:lvlText w:val="•"/>
      <w:lvlJc w:val="left"/>
      <w:pPr>
        <w:tabs>
          <w:tab w:val="num" w:pos="1440"/>
        </w:tabs>
        <w:ind w:left="1440" w:hanging="360"/>
      </w:pPr>
      <w:rPr>
        <w:rFonts w:ascii="Arial" w:hAnsi="Arial" w:hint="default"/>
      </w:rPr>
    </w:lvl>
    <w:lvl w:ilvl="2" w:tplc="FFB69ACA" w:tentative="1">
      <w:start w:val="1"/>
      <w:numFmt w:val="bullet"/>
      <w:lvlText w:val="•"/>
      <w:lvlJc w:val="left"/>
      <w:pPr>
        <w:tabs>
          <w:tab w:val="num" w:pos="2160"/>
        </w:tabs>
        <w:ind w:left="2160" w:hanging="360"/>
      </w:pPr>
      <w:rPr>
        <w:rFonts w:ascii="Arial" w:hAnsi="Arial" w:hint="default"/>
      </w:rPr>
    </w:lvl>
    <w:lvl w:ilvl="3" w:tplc="A3880E22" w:tentative="1">
      <w:start w:val="1"/>
      <w:numFmt w:val="bullet"/>
      <w:lvlText w:val="•"/>
      <w:lvlJc w:val="left"/>
      <w:pPr>
        <w:tabs>
          <w:tab w:val="num" w:pos="2880"/>
        </w:tabs>
        <w:ind w:left="2880" w:hanging="360"/>
      </w:pPr>
      <w:rPr>
        <w:rFonts w:ascii="Arial" w:hAnsi="Arial" w:hint="default"/>
      </w:rPr>
    </w:lvl>
    <w:lvl w:ilvl="4" w:tplc="9DAC746C" w:tentative="1">
      <w:start w:val="1"/>
      <w:numFmt w:val="bullet"/>
      <w:lvlText w:val="•"/>
      <w:lvlJc w:val="left"/>
      <w:pPr>
        <w:tabs>
          <w:tab w:val="num" w:pos="3600"/>
        </w:tabs>
        <w:ind w:left="3600" w:hanging="360"/>
      </w:pPr>
      <w:rPr>
        <w:rFonts w:ascii="Arial" w:hAnsi="Arial" w:hint="default"/>
      </w:rPr>
    </w:lvl>
    <w:lvl w:ilvl="5" w:tplc="BD7CCA00" w:tentative="1">
      <w:start w:val="1"/>
      <w:numFmt w:val="bullet"/>
      <w:lvlText w:val="•"/>
      <w:lvlJc w:val="left"/>
      <w:pPr>
        <w:tabs>
          <w:tab w:val="num" w:pos="4320"/>
        </w:tabs>
        <w:ind w:left="4320" w:hanging="360"/>
      </w:pPr>
      <w:rPr>
        <w:rFonts w:ascii="Arial" w:hAnsi="Arial" w:hint="default"/>
      </w:rPr>
    </w:lvl>
    <w:lvl w:ilvl="6" w:tplc="F14CAE66" w:tentative="1">
      <w:start w:val="1"/>
      <w:numFmt w:val="bullet"/>
      <w:lvlText w:val="•"/>
      <w:lvlJc w:val="left"/>
      <w:pPr>
        <w:tabs>
          <w:tab w:val="num" w:pos="5040"/>
        </w:tabs>
        <w:ind w:left="5040" w:hanging="360"/>
      </w:pPr>
      <w:rPr>
        <w:rFonts w:ascii="Arial" w:hAnsi="Arial" w:hint="default"/>
      </w:rPr>
    </w:lvl>
    <w:lvl w:ilvl="7" w:tplc="0B3A09D8" w:tentative="1">
      <w:start w:val="1"/>
      <w:numFmt w:val="bullet"/>
      <w:lvlText w:val="•"/>
      <w:lvlJc w:val="left"/>
      <w:pPr>
        <w:tabs>
          <w:tab w:val="num" w:pos="5760"/>
        </w:tabs>
        <w:ind w:left="5760" w:hanging="360"/>
      </w:pPr>
      <w:rPr>
        <w:rFonts w:ascii="Arial" w:hAnsi="Arial" w:hint="default"/>
      </w:rPr>
    </w:lvl>
    <w:lvl w:ilvl="8" w:tplc="0176642C" w:tentative="1">
      <w:start w:val="1"/>
      <w:numFmt w:val="bullet"/>
      <w:lvlText w:val="•"/>
      <w:lvlJc w:val="left"/>
      <w:pPr>
        <w:tabs>
          <w:tab w:val="num" w:pos="6480"/>
        </w:tabs>
        <w:ind w:left="6480" w:hanging="360"/>
      </w:pPr>
      <w:rPr>
        <w:rFonts w:ascii="Arial" w:hAnsi="Arial" w:hint="default"/>
      </w:rPr>
    </w:lvl>
  </w:abstractNum>
  <w:abstractNum w:abstractNumId="6">
    <w:nsid w:val="543534CC"/>
    <w:multiLevelType w:val="hybridMultilevel"/>
    <w:tmpl w:val="5D3ACFF6"/>
    <w:lvl w:ilvl="0" w:tplc="B1547A34">
      <w:start w:val="1"/>
      <w:numFmt w:val="bullet"/>
      <w:lvlText w:val="•"/>
      <w:lvlJc w:val="left"/>
      <w:pPr>
        <w:tabs>
          <w:tab w:val="num" w:pos="720"/>
        </w:tabs>
        <w:ind w:left="720" w:hanging="360"/>
      </w:pPr>
      <w:rPr>
        <w:rFonts w:ascii="Arial" w:hAnsi="Arial" w:hint="default"/>
      </w:rPr>
    </w:lvl>
    <w:lvl w:ilvl="1" w:tplc="7B5AB62A" w:tentative="1">
      <w:start w:val="1"/>
      <w:numFmt w:val="bullet"/>
      <w:lvlText w:val="•"/>
      <w:lvlJc w:val="left"/>
      <w:pPr>
        <w:tabs>
          <w:tab w:val="num" w:pos="1440"/>
        </w:tabs>
        <w:ind w:left="1440" w:hanging="360"/>
      </w:pPr>
      <w:rPr>
        <w:rFonts w:ascii="Arial" w:hAnsi="Arial" w:hint="default"/>
      </w:rPr>
    </w:lvl>
    <w:lvl w:ilvl="2" w:tplc="FD30A534" w:tentative="1">
      <w:start w:val="1"/>
      <w:numFmt w:val="bullet"/>
      <w:lvlText w:val="•"/>
      <w:lvlJc w:val="left"/>
      <w:pPr>
        <w:tabs>
          <w:tab w:val="num" w:pos="2160"/>
        </w:tabs>
        <w:ind w:left="2160" w:hanging="360"/>
      </w:pPr>
      <w:rPr>
        <w:rFonts w:ascii="Arial" w:hAnsi="Arial" w:hint="default"/>
      </w:rPr>
    </w:lvl>
    <w:lvl w:ilvl="3" w:tplc="523A0E22" w:tentative="1">
      <w:start w:val="1"/>
      <w:numFmt w:val="bullet"/>
      <w:lvlText w:val="•"/>
      <w:lvlJc w:val="left"/>
      <w:pPr>
        <w:tabs>
          <w:tab w:val="num" w:pos="2880"/>
        </w:tabs>
        <w:ind w:left="2880" w:hanging="360"/>
      </w:pPr>
      <w:rPr>
        <w:rFonts w:ascii="Arial" w:hAnsi="Arial" w:hint="default"/>
      </w:rPr>
    </w:lvl>
    <w:lvl w:ilvl="4" w:tplc="74AA0DC6" w:tentative="1">
      <w:start w:val="1"/>
      <w:numFmt w:val="bullet"/>
      <w:lvlText w:val="•"/>
      <w:lvlJc w:val="left"/>
      <w:pPr>
        <w:tabs>
          <w:tab w:val="num" w:pos="3600"/>
        </w:tabs>
        <w:ind w:left="3600" w:hanging="360"/>
      </w:pPr>
      <w:rPr>
        <w:rFonts w:ascii="Arial" w:hAnsi="Arial" w:hint="default"/>
      </w:rPr>
    </w:lvl>
    <w:lvl w:ilvl="5" w:tplc="A436531A" w:tentative="1">
      <w:start w:val="1"/>
      <w:numFmt w:val="bullet"/>
      <w:lvlText w:val="•"/>
      <w:lvlJc w:val="left"/>
      <w:pPr>
        <w:tabs>
          <w:tab w:val="num" w:pos="4320"/>
        </w:tabs>
        <w:ind w:left="4320" w:hanging="360"/>
      </w:pPr>
      <w:rPr>
        <w:rFonts w:ascii="Arial" w:hAnsi="Arial" w:hint="default"/>
      </w:rPr>
    </w:lvl>
    <w:lvl w:ilvl="6" w:tplc="909E88C6" w:tentative="1">
      <w:start w:val="1"/>
      <w:numFmt w:val="bullet"/>
      <w:lvlText w:val="•"/>
      <w:lvlJc w:val="left"/>
      <w:pPr>
        <w:tabs>
          <w:tab w:val="num" w:pos="5040"/>
        </w:tabs>
        <w:ind w:left="5040" w:hanging="360"/>
      </w:pPr>
      <w:rPr>
        <w:rFonts w:ascii="Arial" w:hAnsi="Arial" w:hint="default"/>
      </w:rPr>
    </w:lvl>
    <w:lvl w:ilvl="7" w:tplc="7604E7D0" w:tentative="1">
      <w:start w:val="1"/>
      <w:numFmt w:val="bullet"/>
      <w:lvlText w:val="•"/>
      <w:lvlJc w:val="left"/>
      <w:pPr>
        <w:tabs>
          <w:tab w:val="num" w:pos="5760"/>
        </w:tabs>
        <w:ind w:left="5760" w:hanging="360"/>
      </w:pPr>
      <w:rPr>
        <w:rFonts w:ascii="Arial" w:hAnsi="Arial" w:hint="default"/>
      </w:rPr>
    </w:lvl>
    <w:lvl w:ilvl="8" w:tplc="BBCADC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33"/>
    <w:rsid w:val="00037BA1"/>
    <w:rsid w:val="00102723"/>
    <w:rsid w:val="00102DB5"/>
    <w:rsid w:val="001E605F"/>
    <w:rsid w:val="00300BC4"/>
    <w:rsid w:val="003551F6"/>
    <w:rsid w:val="00356C33"/>
    <w:rsid w:val="003B72F9"/>
    <w:rsid w:val="00415973"/>
    <w:rsid w:val="005046F3"/>
    <w:rsid w:val="00632298"/>
    <w:rsid w:val="0077696A"/>
    <w:rsid w:val="008617D0"/>
    <w:rsid w:val="008C2FF8"/>
    <w:rsid w:val="009F38F9"/>
    <w:rsid w:val="00AA14D8"/>
    <w:rsid w:val="00C36103"/>
    <w:rsid w:val="00C73746"/>
    <w:rsid w:val="00D37682"/>
    <w:rsid w:val="00D37D36"/>
    <w:rsid w:val="00E623ED"/>
    <w:rsid w:val="00F2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356C33"/>
    <w:rPr>
      <w:color w:val="0000FF"/>
      <w:u w:val="single"/>
    </w:rPr>
  </w:style>
  <w:style w:type="paragraph" w:styleId="BalloonText">
    <w:name w:val="Balloon Text"/>
    <w:basedOn w:val="Normal"/>
    <w:link w:val="BalloonTextChar"/>
    <w:uiPriority w:val="99"/>
    <w:semiHidden/>
    <w:unhideWhenUsed/>
    <w:rsid w:val="0077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6A"/>
    <w:rPr>
      <w:rFonts w:ascii="Tahoma" w:hAnsi="Tahoma" w:cs="Tahoma"/>
      <w:sz w:val="16"/>
      <w:szCs w:val="16"/>
    </w:rPr>
  </w:style>
  <w:style w:type="paragraph" w:styleId="Header">
    <w:name w:val="header"/>
    <w:basedOn w:val="Normal"/>
    <w:link w:val="HeaderChar"/>
    <w:uiPriority w:val="99"/>
    <w:unhideWhenUsed/>
    <w:rsid w:val="00D37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36"/>
  </w:style>
  <w:style w:type="paragraph" w:styleId="Footer">
    <w:name w:val="footer"/>
    <w:basedOn w:val="Normal"/>
    <w:link w:val="FooterChar"/>
    <w:uiPriority w:val="99"/>
    <w:unhideWhenUsed/>
    <w:rsid w:val="00D3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356C33"/>
    <w:rPr>
      <w:color w:val="0000FF"/>
      <w:u w:val="single"/>
    </w:rPr>
  </w:style>
  <w:style w:type="paragraph" w:styleId="BalloonText">
    <w:name w:val="Balloon Text"/>
    <w:basedOn w:val="Normal"/>
    <w:link w:val="BalloonTextChar"/>
    <w:uiPriority w:val="99"/>
    <w:semiHidden/>
    <w:unhideWhenUsed/>
    <w:rsid w:val="0077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6A"/>
    <w:rPr>
      <w:rFonts w:ascii="Tahoma" w:hAnsi="Tahoma" w:cs="Tahoma"/>
      <w:sz w:val="16"/>
      <w:szCs w:val="16"/>
    </w:rPr>
  </w:style>
  <w:style w:type="paragraph" w:styleId="Header">
    <w:name w:val="header"/>
    <w:basedOn w:val="Normal"/>
    <w:link w:val="HeaderChar"/>
    <w:uiPriority w:val="99"/>
    <w:unhideWhenUsed/>
    <w:rsid w:val="00D37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36"/>
  </w:style>
  <w:style w:type="paragraph" w:styleId="Footer">
    <w:name w:val="footer"/>
    <w:basedOn w:val="Normal"/>
    <w:link w:val="FooterChar"/>
    <w:uiPriority w:val="99"/>
    <w:unhideWhenUsed/>
    <w:rsid w:val="00D3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648">
      <w:bodyDiv w:val="1"/>
      <w:marLeft w:val="0"/>
      <w:marRight w:val="0"/>
      <w:marTop w:val="0"/>
      <w:marBottom w:val="0"/>
      <w:divBdr>
        <w:top w:val="none" w:sz="0" w:space="0" w:color="auto"/>
        <w:left w:val="none" w:sz="0" w:space="0" w:color="auto"/>
        <w:bottom w:val="none" w:sz="0" w:space="0" w:color="auto"/>
        <w:right w:val="none" w:sz="0" w:space="0" w:color="auto"/>
      </w:divBdr>
      <w:divsChild>
        <w:div w:id="654845992">
          <w:marLeft w:val="547"/>
          <w:marRight w:val="0"/>
          <w:marTop w:val="125"/>
          <w:marBottom w:val="0"/>
          <w:divBdr>
            <w:top w:val="none" w:sz="0" w:space="0" w:color="auto"/>
            <w:left w:val="none" w:sz="0" w:space="0" w:color="auto"/>
            <w:bottom w:val="none" w:sz="0" w:space="0" w:color="auto"/>
            <w:right w:val="none" w:sz="0" w:space="0" w:color="auto"/>
          </w:divBdr>
        </w:div>
        <w:div w:id="503666781">
          <w:marLeft w:val="547"/>
          <w:marRight w:val="0"/>
          <w:marTop w:val="125"/>
          <w:marBottom w:val="0"/>
          <w:divBdr>
            <w:top w:val="none" w:sz="0" w:space="0" w:color="auto"/>
            <w:left w:val="none" w:sz="0" w:space="0" w:color="auto"/>
            <w:bottom w:val="none" w:sz="0" w:space="0" w:color="auto"/>
            <w:right w:val="none" w:sz="0" w:space="0" w:color="auto"/>
          </w:divBdr>
        </w:div>
      </w:divsChild>
    </w:div>
    <w:div w:id="809634183">
      <w:bodyDiv w:val="1"/>
      <w:marLeft w:val="0"/>
      <w:marRight w:val="0"/>
      <w:marTop w:val="0"/>
      <w:marBottom w:val="0"/>
      <w:divBdr>
        <w:top w:val="none" w:sz="0" w:space="0" w:color="auto"/>
        <w:left w:val="none" w:sz="0" w:space="0" w:color="auto"/>
        <w:bottom w:val="none" w:sz="0" w:space="0" w:color="auto"/>
        <w:right w:val="none" w:sz="0" w:space="0" w:color="auto"/>
      </w:divBdr>
      <w:divsChild>
        <w:div w:id="176771901">
          <w:marLeft w:val="547"/>
          <w:marRight w:val="0"/>
          <w:marTop w:val="134"/>
          <w:marBottom w:val="0"/>
          <w:divBdr>
            <w:top w:val="none" w:sz="0" w:space="0" w:color="auto"/>
            <w:left w:val="none" w:sz="0" w:space="0" w:color="auto"/>
            <w:bottom w:val="none" w:sz="0" w:space="0" w:color="auto"/>
            <w:right w:val="none" w:sz="0" w:space="0" w:color="auto"/>
          </w:divBdr>
        </w:div>
        <w:div w:id="486895853">
          <w:marLeft w:val="547"/>
          <w:marRight w:val="0"/>
          <w:marTop w:val="134"/>
          <w:marBottom w:val="0"/>
          <w:divBdr>
            <w:top w:val="none" w:sz="0" w:space="0" w:color="auto"/>
            <w:left w:val="none" w:sz="0" w:space="0" w:color="auto"/>
            <w:bottom w:val="none" w:sz="0" w:space="0" w:color="auto"/>
            <w:right w:val="none" w:sz="0" w:space="0" w:color="auto"/>
          </w:divBdr>
        </w:div>
        <w:div w:id="298652374">
          <w:marLeft w:val="547"/>
          <w:marRight w:val="0"/>
          <w:marTop w:val="134"/>
          <w:marBottom w:val="0"/>
          <w:divBdr>
            <w:top w:val="none" w:sz="0" w:space="0" w:color="auto"/>
            <w:left w:val="none" w:sz="0" w:space="0" w:color="auto"/>
            <w:bottom w:val="none" w:sz="0" w:space="0" w:color="auto"/>
            <w:right w:val="none" w:sz="0" w:space="0" w:color="auto"/>
          </w:divBdr>
        </w:div>
      </w:divsChild>
    </w:div>
    <w:div w:id="861043650">
      <w:bodyDiv w:val="1"/>
      <w:marLeft w:val="0"/>
      <w:marRight w:val="0"/>
      <w:marTop w:val="0"/>
      <w:marBottom w:val="0"/>
      <w:divBdr>
        <w:top w:val="none" w:sz="0" w:space="0" w:color="auto"/>
        <w:left w:val="none" w:sz="0" w:space="0" w:color="auto"/>
        <w:bottom w:val="none" w:sz="0" w:space="0" w:color="auto"/>
        <w:right w:val="none" w:sz="0" w:space="0" w:color="auto"/>
      </w:divBdr>
      <w:divsChild>
        <w:div w:id="2114355038">
          <w:marLeft w:val="547"/>
          <w:marRight w:val="0"/>
          <w:marTop w:val="125"/>
          <w:marBottom w:val="0"/>
          <w:divBdr>
            <w:top w:val="none" w:sz="0" w:space="0" w:color="auto"/>
            <w:left w:val="none" w:sz="0" w:space="0" w:color="auto"/>
            <w:bottom w:val="none" w:sz="0" w:space="0" w:color="auto"/>
            <w:right w:val="none" w:sz="0" w:space="0" w:color="auto"/>
          </w:divBdr>
        </w:div>
        <w:div w:id="1189560482">
          <w:marLeft w:val="547"/>
          <w:marRight w:val="0"/>
          <w:marTop w:val="125"/>
          <w:marBottom w:val="0"/>
          <w:divBdr>
            <w:top w:val="none" w:sz="0" w:space="0" w:color="auto"/>
            <w:left w:val="none" w:sz="0" w:space="0" w:color="auto"/>
            <w:bottom w:val="none" w:sz="0" w:space="0" w:color="auto"/>
            <w:right w:val="none" w:sz="0" w:space="0" w:color="auto"/>
          </w:divBdr>
        </w:div>
      </w:divsChild>
    </w:div>
    <w:div w:id="1700735666">
      <w:bodyDiv w:val="1"/>
      <w:marLeft w:val="0"/>
      <w:marRight w:val="0"/>
      <w:marTop w:val="0"/>
      <w:marBottom w:val="0"/>
      <w:divBdr>
        <w:top w:val="none" w:sz="0" w:space="0" w:color="auto"/>
        <w:left w:val="none" w:sz="0" w:space="0" w:color="auto"/>
        <w:bottom w:val="none" w:sz="0" w:space="0" w:color="auto"/>
        <w:right w:val="none" w:sz="0" w:space="0" w:color="auto"/>
      </w:divBdr>
      <w:divsChild>
        <w:div w:id="669067269">
          <w:marLeft w:val="547"/>
          <w:marRight w:val="0"/>
          <w:marTop w:val="134"/>
          <w:marBottom w:val="0"/>
          <w:divBdr>
            <w:top w:val="none" w:sz="0" w:space="0" w:color="auto"/>
            <w:left w:val="none" w:sz="0" w:space="0" w:color="auto"/>
            <w:bottom w:val="none" w:sz="0" w:space="0" w:color="auto"/>
            <w:right w:val="none" w:sz="0" w:space="0" w:color="auto"/>
          </w:divBdr>
        </w:div>
      </w:divsChild>
    </w:div>
    <w:div w:id="1799302811">
      <w:bodyDiv w:val="1"/>
      <w:marLeft w:val="0"/>
      <w:marRight w:val="0"/>
      <w:marTop w:val="0"/>
      <w:marBottom w:val="0"/>
      <w:divBdr>
        <w:top w:val="none" w:sz="0" w:space="0" w:color="auto"/>
        <w:left w:val="none" w:sz="0" w:space="0" w:color="auto"/>
        <w:bottom w:val="none" w:sz="0" w:space="0" w:color="auto"/>
        <w:right w:val="none" w:sz="0" w:space="0" w:color="auto"/>
      </w:divBdr>
    </w:div>
    <w:div w:id="2024277243">
      <w:bodyDiv w:val="1"/>
      <w:marLeft w:val="0"/>
      <w:marRight w:val="0"/>
      <w:marTop w:val="0"/>
      <w:marBottom w:val="0"/>
      <w:divBdr>
        <w:top w:val="none" w:sz="0" w:space="0" w:color="auto"/>
        <w:left w:val="none" w:sz="0" w:space="0" w:color="auto"/>
        <w:bottom w:val="none" w:sz="0" w:space="0" w:color="auto"/>
        <w:right w:val="none" w:sz="0" w:space="0" w:color="auto"/>
      </w:divBdr>
    </w:div>
    <w:div w:id="2123264764">
      <w:bodyDiv w:val="1"/>
      <w:marLeft w:val="0"/>
      <w:marRight w:val="0"/>
      <w:marTop w:val="0"/>
      <w:marBottom w:val="0"/>
      <w:divBdr>
        <w:top w:val="none" w:sz="0" w:space="0" w:color="auto"/>
        <w:left w:val="none" w:sz="0" w:space="0" w:color="auto"/>
        <w:bottom w:val="none" w:sz="0" w:space="0" w:color="auto"/>
        <w:right w:val="none" w:sz="0" w:space="0" w:color="auto"/>
      </w:divBdr>
      <w:divsChild>
        <w:div w:id="20411298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1jrb\Documents\Projects\Interreg%204\CAMINO\UK\Mainstreaming%20sustainability\Household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UK Households 2004 - 2013 (Thousands)</a:t>
            </a:r>
          </a:p>
        </c:rich>
      </c:tx>
      <c:layout/>
      <c:overlay val="1"/>
    </c:title>
    <c:autoTitleDeleted val="0"/>
    <c:plotArea>
      <c:layout/>
      <c:scatterChart>
        <c:scatterStyle val="lineMarker"/>
        <c:varyColors val="0"/>
        <c:ser>
          <c:idx val="0"/>
          <c:order val="0"/>
          <c:tx>
            <c:strRef>
              <c:f>Sheet1!$C$1</c:f>
              <c:strCache>
                <c:ptCount val="1"/>
                <c:pt idx="0">
                  <c:v>Owned outright</c:v>
                </c:pt>
              </c:strCache>
            </c:strRef>
          </c:tx>
          <c:spPr>
            <a:ln>
              <a:prstDash val="dash"/>
            </a:ln>
          </c:spPr>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Sheet1!$C$2:$C$11</c:f>
              <c:numCache>
                <c:formatCode>#,##0,</c:formatCode>
                <c:ptCount val="10"/>
                <c:pt idx="0">
                  <c:v>7515416</c:v>
                </c:pt>
                <c:pt idx="1">
                  <c:v>7547870</c:v>
                </c:pt>
                <c:pt idx="2">
                  <c:v>7910409</c:v>
                </c:pt>
                <c:pt idx="3">
                  <c:v>7899895</c:v>
                </c:pt>
                <c:pt idx="4">
                  <c:v>8183851</c:v>
                </c:pt>
                <c:pt idx="5">
                  <c:v>8226068</c:v>
                </c:pt>
                <c:pt idx="6">
                  <c:v>8222621</c:v>
                </c:pt>
                <c:pt idx="7">
                  <c:v>8144687</c:v>
                </c:pt>
                <c:pt idx="8">
                  <c:v>8076978</c:v>
                </c:pt>
                <c:pt idx="9">
                  <c:v>8158163</c:v>
                </c:pt>
              </c:numCache>
            </c:numRef>
          </c:yVal>
          <c:smooth val="0"/>
        </c:ser>
        <c:ser>
          <c:idx val="1"/>
          <c:order val="1"/>
          <c:tx>
            <c:strRef>
              <c:f>Sheet1!$D$1</c:f>
              <c:strCache>
                <c:ptCount val="1"/>
                <c:pt idx="0">
                  <c:v>Buying with mortgage</c:v>
                </c:pt>
              </c:strCache>
            </c:strRef>
          </c:tx>
          <c:spPr>
            <a:ln>
              <a:prstDash val="dash"/>
            </a:ln>
          </c:spPr>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Sheet1!$D$2:$D$11</c:f>
              <c:numCache>
                <c:formatCode>#,##0,</c:formatCode>
                <c:ptCount val="10"/>
                <c:pt idx="0">
                  <c:v>20911345</c:v>
                </c:pt>
                <c:pt idx="1">
                  <c:v>20652660</c:v>
                </c:pt>
                <c:pt idx="2">
                  <c:v>20199038</c:v>
                </c:pt>
                <c:pt idx="3">
                  <c:v>19999382</c:v>
                </c:pt>
                <c:pt idx="4">
                  <c:v>19406665</c:v>
                </c:pt>
                <c:pt idx="5">
                  <c:v>19032103</c:v>
                </c:pt>
                <c:pt idx="6">
                  <c:v>18699007</c:v>
                </c:pt>
                <c:pt idx="7">
                  <c:v>18262756</c:v>
                </c:pt>
                <c:pt idx="8">
                  <c:v>18081744</c:v>
                </c:pt>
                <c:pt idx="9">
                  <c:v>17566965</c:v>
                </c:pt>
              </c:numCache>
            </c:numRef>
          </c:yVal>
          <c:smooth val="0"/>
        </c:ser>
        <c:ser>
          <c:idx val="2"/>
          <c:order val="2"/>
          <c:tx>
            <c:strRef>
              <c:f>Sheet1!$E$1</c:f>
              <c:strCache>
                <c:ptCount val="1"/>
                <c:pt idx="0">
                  <c:v>Owner Occupied</c:v>
                </c:pt>
              </c:strCache>
            </c:strRef>
          </c:tx>
          <c:spPr>
            <a:ln>
              <a:prstDash val="dash"/>
            </a:ln>
          </c:spPr>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Sheet1!$E$2:$E$11</c:f>
              <c:numCache>
                <c:formatCode>#,##0,</c:formatCode>
                <c:ptCount val="10"/>
                <c:pt idx="0">
                  <c:v>28426761</c:v>
                </c:pt>
                <c:pt idx="1">
                  <c:v>28200530</c:v>
                </c:pt>
                <c:pt idx="2">
                  <c:v>28109447</c:v>
                </c:pt>
                <c:pt idx="3">
                  <c:v>27899277</c:v>
                </c:pt>
                <c:pt idx="4">
                  <c:v>27590516</c:v>
                </c:pt>
                <c:pt idx="5">
                  <c:v>27258171</c:v>
                </c:pt>
                <c:pt idx="6">
                  <c:v>26921628</c:v>
                </c:pt>
                <c:pt idx="7">
                  <c:v>26407443</c:v>
                </c:pt>
                <c:pt idx="8">
                  <c:v>26158722</c:v>
                </c:pt>
                <c:pt idx="9">
                  <c:v>25725128</c:v>
                </c:pt>
              </c:numCache>
            </c:numRef>
          </c:yVal>
          <c:smooth val="0"/>
        </c:ser>
        <c:ser>
          <c:idx val="3"/>
          <c:order val="3"/>
          <c:tx>
            <c:strRef>
              <c:f>Sheet1!$F$1</c:f>
              <c:strCache>
                <c:ptCount val="1"/>
                <c:pt idx="0">
                  <c:v>Council/ Housing association</c:v>
                </c:pt>
              </c:strCache>
            </c:strRef>
          </c:tx>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Sheet1!$F$2:$F$11</c:f>
              <c:numCache>
                <c:formatCode>#,##0,</c:formatCode>
                <c:ptCount val="10"/>
                <c:pt idx="0">
                  <c:v>5291109</c:v>
                </c:pt>
                <c:pt idx="1">
                  <c:v>5360551</c:v>
                </c:pt>
                <c:pt idx="2">
                  <c:v>5539828</c:v>
                </c:pt>
                <c:pt idx="3">
                  <c:v>5630774</c:v>
                </c:pt>
                <c:pt idx="4">
                  <c:v>5684266</c:v>
                </c:pt>
                <c:pt idx="5">
                  <c:v>5768334</c:v>
                </c:pt>
                <c:pt idx="6">
                  <c:v>5711452</c:v>
                </c:pt>
                <c:pt idx="7">
                  <c:v>5837969</c:v>
                </c:pt>
                <c:pt idx="8">
                  <c:v>5881453</c:v>
                </c:pt>
                <c:pt idx="9">
                  <c:v>5975894</c:v>
                </c:pt>
              </c:numCache>
            </c:numRef>
          </c:yVal>
          <c:smooth val="0"/>
        </c:ser>
        <c:ser>
          <c:idx val="4"/>
          <c:order val="4"/>
          <c:tx>
            <c:strRef>
              <c:f>Sheet1!$G$1</c:f>
              <c:strCache>
                <c:ptCount val="1"/>
                <c:pt idx="0">
                  <c:v>Privately rented</c:v>
                </c:pt>
              </c:strCache>
            </c:strRef>
          </c:tx>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Sheet1!$G$2:$G$11</c:f>
              <c:numCache>
                <c:formatCode>#,##0,</c:formatCode>
                <c:ptCount val="10"/>
                <c:pt idx="0">
                  <c:v>4701697</c:v>
                </c:pt>
                <c:pt idx="1">
                  <c:v>5210085</c:v>
                </c:pt>
                <c:pt idx="2">
                  <c:v>5479609</c:v>
                </c:pt>
                <c:pt idx="3">
                  <c:v>5890602</c:v>
                </c:pt>
                <c:pt idx="4">
                  <c:v>6374853</c:v>
                </c:pt>
                <c:pt idx="5">
                  <c:v>6807338</c:v>
                </c:pt>
                <c:pt idx="6">
                  <c:v>7368680</c:v>
                </c:pt>
                <c:pt idx="7">
                  <c:v>7888669</c:v>
                </c:pt>
                <c:pt idx="8">
                  <c:v>8132618</c:v>
                </c:pt>
                <c:pt idx="9">
                  <c:v>8593529</c:v>
                </c:pt>
              </c:numCache>
            </c:numRef>
          </c:yVal>
          <c:smooth val="0"/>
        </c:ser>
        <c:ser>
          <c:idx val="5"/>
          <c:order val="5"/>
          <c:tx>
            <c:strRef>
              <c:f>Sheet1!$H$1</c:f>
              <c:strCache>
                <c:ptCount val="1"/>
                <c:pt idx="0">
                  <c:v>Rented</c:v>
                </c:pt>
              </c:strCache>
            </c:strRef>
          </c:tx>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Sheet1!$H$2:$H$11</c:f>
              <c:numCache>
                <c:formatCode>#,##0,</c:formatCode>
                <c:ptCount val="10"/>
                <c:pt idx="0">
                  <c:v>9992806</c:v>
                </c:pt>
                <c:pt idx="1">
                  <c:v>10570636</c:v>
                </c:pt>
                <c:pt idx="2">
                  <c:v>11019437</c:v>
                </c:pt>
                <c:pt idx="3">
                  <c:v>11521376</c:v>
                </c:pt>
                <c:pt idx="4">
                  <c:v>12059119</c:v>
                </c:pt>
                <c:pt idx="5">
                  <c:v>12575672</c:v>
                </c:pt>
                <c:pt idx="6">
                  <c:v>13080132</c:v>
                </c:pt>
                <c:pt idx="7">
                  <c:v>13726638</c:v>
                </c:pt>
                <c:pt idx="8">
                  <c:v>14014071</c:v>
                </c:pt>
                <c:pt idx="9">
                  <c:v>14569423</c:v>
                </c:pt>
              </c:numCache>
            </c:numRef>
          </c:yVal>
          <c:smooth val="0"/>
        </c:ser>
        <c:ser>
          <c:idx val="6"/>
          <c:order val="6"/>
          <c:tx>
            <c:strRef>
              <c:f>Sheet1!$I$1</c:f>
              <c:strCache>
                <c:ptCount val="1"/>
                <c:pt idx="0">
                  <c:v>All households</c:v>
                </c:pt>
              </c:strCache>
            </c:strRef>
          </c:tx>
          <c:spPr>
            <a:ln>
              <a:prstDash val="lgDash"/>
            </a:ln>
          </c:spPr>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Sheet1!$I$2:$I$11</c:f>
              <c:numCache>
                <c:formatCode>#,##0,</c:formatCode>
                <c:ptCount val="10"/>
                <c:pt idx="0">
                  <c:v>38448199</c:v>
                </c:pt>
                <c:pt idx="1">
                  <c:v>38812134</c:v>
                </c:pt>
                <c:pt idx="2">
                  <c:v>39153228</c:v>
                </c:pt>
                <c:pt idx="3">
                  <c:v>39450160</c:v>
                </c:pt>
                <c:pt idx="4">
                  <c:v>39672085</c:v>
                </c:pt>
                <c:pt idx="5">
                  <c:v>39857029</c:v>
                </c:pt>
                <c:pt idx="6">
                  <c:v>40058003</c:v>
                </c:pt>
                <c:pt idx="7">
                  <c:v>40175379</c:v>
                </c:pt>
                <c:pt idx="8">
                  <c:v>40214885</c:v>
                </c:pt>
                <c:pt idx="9">
                  <c:v>40328936</c:v>
                </c:pt>
              </c:numCache>
            </c:numRef>
          </c:yVal>
          <c:smooth val="0"/>
        </c:ser>
        <c:ser>
          <c:idx val="7"/>
          <c:order val="7"/>
          <c:tx>
            <c:strRef>
              <c:f>Sheet1!$J$1</c:f>
              <c:strCache>
                <c:ptCount val="1"/>
                <c:pt idx="0">
                  <c:v>House construction</c:v>
                </c:pt>
              </c:strCache>
            </c:strRef>
          </c:tx>
          <c:marker>
            <c:symbol val="none"/>
          </c:marker>
          <c:xVal>
            <c:numRef>
              <c:f>Sheet1!$B$2:$B$11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Sheet1!$J$2:$J$11</c:f>
              <c:numCache>
                <c:formatCode>[$-10409]#,##0;\(#,##0\)</c:formatCode>
                <c:ptCount val="10"/>
                <c:pt idx="0">
                  <c:v>206620</c:v>
                </c:pt>
                <c:pt idx="1">
                  <c:v>214000</c:v>
                </c:pt>
                <c:pt idx="2">
                  <c:v>219070</c:v>
                </c:pt>
                <c:pt idx="3">
                  <c:v>218530</c:v>
                </c:pt>
                <c:pt idx="4">
                  <c:v>178780</c:v>
                </c:pt>
                <c:pt idx="5">
                  <c:v>152940</c:v>
                </c:pt>
                <c:pt idx="6">
                  <c:v>137400</c:v>
                </c:pt>
                <c:pt idx="7">
                  <c:v>146840</c:v>
                </c:pt>
                <c:pt idx="8">
                  <c:v>135510</c:v>
                </c:pt>
                <c:pt idx="9">
                  <c:v>140850</c:v>
                </c:pt>
              </c:numCache>
            </c:numRef>
          </c:yVal>
          <c:smooth val="0"/>
        </c:ser>
        <c:dLbls>
          <c:showLegendKey val="0"/>
          <c:showVal val="0"/>
          <c:showCatName val="0"/>
          <c:showSerName val="0"/>
          <c:showPercent val="0"/>
          <c:showBubbleSize val="0"/>
        </c:dLbls>
        <c:axId val="29121536"/>
        <c:axId val="29127424"/>
      </c:scatterChart>
      <c:valAx>
        <c:axId val="29121536"/>
        <c:scaling>
          <c:orientation val="minMax"/>
        </c:scaling>
        <c:delete val="0"/>
        <c:axPos val="b"/>
        <c:numFmt formatCode="General" sourceLinked="1"/>
        <c:majorTickMark val="out"/>
        <c:minorTickMark val="none"/>
        <c:tickLblPos val="nextTo"/>
        <c:crossAx val="29127424"/>
        <c:crosses val="autoZero"/>
        <c:crossBetween val="midCat"/>
      </c:valAx>
      <c:valAx>
        <c:axId val="29127424"/>
        <c:scaling>
          <c:orientation val="minMax"/>
        </c:scaling>
        <c:delete val="0"/>
        <c:axPos val="l"/>
        <c:majorGridlines/>
        <c:numFmt formatCode="#,##0," sourceLinked="1"/>
        <c:majorTickMark val="out"/>
        <c:minorTickMark val="none"/>
        <c:tickLblPos val="nextTo"/>
        <c:crossAx val="2912153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ci1jrb</dc:creator>
  <cp:lastModifiedBy>Newton, Andy</cp:lastModifiedBy>
  <cp:revision>2</cp:revision>
  <dcterms:created xsi:type="dcterms:W3CDTF">2015-08-06T07:27:00Z</dcterms:created>
  <dcterms:modified xsi:type="dcterms:W3CDTF">2015-08-06T07:27:00Z</dcterms:modified>
</cp:coreProperties>
</file>