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77" w:rsidRDefault="002B3377" w:rsidP="002B3377">
      <w:pPr>
        <w:pStyle w:val="Heading1"/>
        <w:jc w:val="center"/>
      </w:pPr>
      <w:bookmarkStart w:id="0" w:name="_GoBack"/>
      <w:bookmarkEnd w:id="0"/>
    </w:p>
    <w:p w:rsidR="002B3377" w:rsidRDefault="002B3377" w:rsidP="002B3377">
      <w:pPr>
        <w:pStyle w:val="Heading1"/>
        <w:jc w:val="center"/>
      </w:pPr>
      <w:bookmarkStart w:id="1" w:name="_Toc426376476"/>
      <w:bookmarkStart w:id="2" w:name="_Toc426376581"/>
      <w:r>
        <w:t>Annex 17:</w:t>
      </w:r>
      <w:bookmarkEnd w:id="1"/>
      <w:bookmarkEnd w:id="2"/>
      <w:r>
        <w:t xml:space="preserve"> </w:t>
      </w:r>
    </w:p>
    <w:p w:rsidR="002B3377" w:rsidRDefault="002B3377" w:rsidP="002B3377">
      <w:pPr>
        <w:pStyle w:val="Heading1"/>
        <w:jc w:val="center"/>
      </w:pPr>
    </w:p>
    <w:p w:rsidR="002B3377" w:rsidRDefault="002B3377" w:rsidP="002B3377">
      <w:pPr>
        <w:pStyle w:val="Heading1"/>
        <w:jc w:val="center"/>
      </w:pPr>
    </w:p>
    <w:p w:rsidR="002B3377" w:rsidRDefault="002B3377" w:rsidP="002B3377">
      <w:pPr>
        <w:pStyle w:val="Heading1"/>
        <w:jc w:val="center"/>
      </w:pPr>
      <w:bookmarkStart w:id="3" w:name="_Toc426376477"/>
      <w:bookmarkStart w:id="4" w:name="_Toc426376582"/>
      <w:r>
        <w:t>Mainstreaming sustainability and climate adaptation and mitigation through the DIY and construction material and component supply sector in England</w:t>
      </w:r>
      <w:bookmarkEnd w:id="3"/>
      <w:bookmarkEnd w:id="4"/>
    </w:p>
    <w:p w:rsidR="002B3377" w:rsidRDefault="002B3377" w:rsidP="002B3377"/>
    <w:p w:rsidR="002B3377" w:rsidRDefault="002B3377" w:rsidP="002B3377"/>
    <w:p w:rsidR="002B3377" w:rsidRDefault="002B3377" w:rsidP="002B3377"/>
    <w:p w:rsidR="002B3377" w:rsidRDefault="002B3377" w:rsidP="002B3377"/>
    <w:p w:rsidR="002B3377" w:rsidRDefault="002B3377" w:rsidP="002B3377"/>
    <w:p w:rsidR="002B3377" w:rsidRPr="00346215" w:rsidRDefault="002B3377" w:rsidP="002B3377">
      <w:pPr>
        <w:pStyle w:val="Heading1"/>
        <w:jc w:val="center"/>
      </w:pPr>
      <w:bookmarkStart w:id="5" w:name="_Toc426376478"/>
      <w:bookmarkStart w:id="6" w:name="_Toc426376583"/>
      <w:r>
        <w:t>July 2015</w:t>
      </w:r>
      <w:bookmarkEnd w:id="5"/>
      <w:bookmarkEnd w:id="6"/>
    </w:p>
    <w:p w:rsidR="002B3377" w:rsidRPr="00296AC1" w:rsidRDefault="002B3377" w:rsidP="002B3377"/>
    <w:p w:rsidR="002B3377" w:rsidRDefault="002B3377" w:rsidP="002B3377"/>
    <w:p w:rsidR="002B3377" w:rsidRDefault="002B3377" w:rsidP="002B3377"/>
    <w:p w:rsidR="002B3377" w:rsidRDefault="002B3377" w:rsidP="002B3377">
      <w:r>
        <w:t>John Blanksby, Pennine Water Group, Department of Civil and Structural Engineering, University of Sheffield.</w:t>
      </w:r>
    </w:p>
    <w:p w:rsidR="002B3377" w:rsidRDefault="002B3377">
      <w:pPr>
        <w:sectPr w:rsidR="002B3377">
          <w:headerReference w:type="default" r:id="rId9"/>
          <w:footerReference w:type="default" r:id="rId10"/>
          <w:pgSz w:w="11906" w:h="16838"/>
          <w:pgMar w:top="1440" w:right="1440" w:bottom="1440" w:left="1440" w:header="708" w:footer="708" w:gutter="0"/>
          <w:cols w:space="708"/>
          <w:docGrid w:linePitch="360"/>
        </w:sectPr>
      </w:pPr>
      <w:r>
        <w:br w:type="page"/>
      </w:r>
    </w:p>
    <w:p w:rsidR="002B3377" w:rsidRDefault="002B3377" w:rsidP="002B3377">
      <w:pPr>
        <w:pStyle w:val="Heading1"/>
      </w:pPr>
      <w:r>
        <w:lastRenderedPageBreak/>
        <w:t>Summary</w:t>
      </w:r>
    </w:p>
    <w:p w:rsidR="002B3377" w:rsidRDefault="002B3377" w:rsidP="002B3377">
      <w:r>
        <w:t>This document discusses the potential for the DIY, building material and construction component supply sector in England to contribute to mainstreaming sustainability.</w:t>
      </w:r>
    </w:p>
    <w:p w:rsidR="002B3377" w:rsidRPr="003F3704" w:rsidRDefault="002B3377" w:rsidP="002B3377">
      <w:r>
        <w:t xml:space="preserve">Although information on sustainable products is available on the web sites of the national suppliers and on some regional/local SME suppliers, the competitive nature of the sector ensures that there is an emphasis on price on the product pages and in store. This means that the potential benefits of more sustainable products are not fully implanted in customers’ minds. Thus there is little positive promotion of sustainability. The exceptions to this are energy efficiency where there is regulation and sustainable sourcing of timber. Without some form of intervention it is unlikely that this will change as sales are dependent on price. Therefore, the promotion of sustainability needs to be addressed in some other way. It cannot be left to the suppliers to do this themselves as it flies in the face of survival in a competitive market. </w:t>
      </w:r>
    </w:p>
    <w:p w:rsidR="002B3377" w:rsidRDefault="002B3377" w:rsidP="002B3377">
      <w:r>
        <w:br w:type="page"/>
      </w:r>
    </w:p>
    <w:sdt>
      <w:sdtPr>
        <w:rPr>
          <w:rFonts w:asciiTheme="minorHAnsi" w:eastAsiaTheme="minorHAnsi" w:hAnsiTheme="minorHAnsi" w:cstheme="minorBidi"/>
          <w:b w:val="0"/>
          <w:bCs w:val="0"/>
          <w:color w:val="auto"/>
          <w:sz w:val="22"/>
          <w:szCs w:val="22"/>
        </w:rPr>
        <w:id w:val="1646314228"/>
        <w:docPartObj>
          <w:docPartGallery w:val="Table of Contents"/>
          <w:docPartUnique/>
        </w:docPartObj>
      </w:sdtPr>
      <w:sdtEndPr>
        <w:rPr>
          <w:noProof/>
        </w:rPr>
      </w:sdtEndPr>
      <w:sdtContent>
        <w:p w:rsidR="002B3377" w:rsidRDefault="002B3377">
          <w:pPr>
            <w:pStyle w:val="TOCHeading"/>
          </w:pPr>
          <w:r>
            <w:t>Contents</w:t>
          </w:r>
        </w:p>
        <w:p w:rsidR="002B3377" w:rsidRDefault="002B3377" w:rsidP="002B337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p>
        <w:p w:rsidR="002B3377" w:rsidRDefault="002E01BD">
          <w:pPr>
            <w:pStyle w:val="TOC1"/>
            <w:tabs>
              <w:tab w:val="right" w:leader="dot" w:pos="9016"/>
            </w:tabs>
            <w:rPr>
              <w:rFonts w:eastAsiaTheme="minorEastAsia"/>
              <w:noProof/>
              <w:lang w:eastAsia="en-GB"/>
            </w:rPr>
          </w:pPr>
          <w:hyperlink w:anchor="_Toc426376584" w:history="1">
            <w:r w:rsidR="002B3377" w:rsidRPr="00941D5D">
              <w:rPr>
                <w:rStyle w:val="Hyperlink"/>
                <w:noProof/>
              </w:rPr>
              <w:t>Introduction</w:t>
            </w:r>
            <w:r w:rsidR="002B3377">
              <w:rPr>
                <w:noProof/>
                <w:webHidden/>
              </w:rPr>
              <w:tab/>
            </w:r>
            <w:r w:rsidR="002B3377">
              <w:rPr>
                <w:noProof/>
                <w:webHidden/>
              </w:rPr>
              <w:fldChar w:fldCharType="begin"/>
            </w:r>
            <w:r w:rsidR="002B3377">
              <w:rPr>
                <w:noProof/>
                <w:webHidden/>
              </w:rPr>
              <w:instrText xml:space="preserve"> PAGEREF _Toc426376584 \h </w:instrText>
            </w:r>
            <w:r w:rsidR="002B3377">
              <w:rPr>
                <w:noProof/>
                <w:webHidden/>
              </w:rPr>
            </w:r>
            <w:r w:rsidR="002B3377">
              <w:rPr>
                <w:noProof/>
                <w:webHidden/>
              </w:rPr>
              <w:fldChar w:fldCharType="separate"/>
            </w:r>
            <w:r w:rsidR="000E7B4A">
              <w:rPr>
                <w:noProof/>
                <w:webHidden/>
              </w:rPr>
              <w:t>1</w:t>
            </w:r>
            <w:r w:rsidR="002B3377">
              <w:rPr>
                <w:noProof/>
                <w:webHidden/>
              </w:rPr>
              <w:fldChar w:fldCharType="end"/>
            </w:r>
          </w:hyperlink>
        </w:p>
        <w:p w:rsidR="002B3377" w:rsidRDefault="002E01BD">
          <w:pPr>
            <w:pStyle w:val="TOC1"/>
            <w:tabs>
              <w:tab w:val="right" w:leader="dot" w:pos="9016"/>
            </w:tabs>
            <w:rPr>
              <w:rFonts w:eastAsiaTheme="minorEastAsia"/>
              <w:noProof/>
              <w:lang w:eastAsia="en-GB"/>
            </w:rPr>
          </w:pPr>
          <w:hyperlink w:anchor="_Toc426376585" w:history="1">
            <w:r w:rsidR="002B3377" w:rsidRPr="00941D5D">
              <w:rPr>
                <w:rStyle w:val="Hyperlink"/>
                <w:noProof/>
              </w:rPr>
              <w:t>The DIY and construction material and component supply sector in the UK</w:t>
            </w:r>
            <w:r w:rsidR="002B3377">
              <w:rPr>
                <w:noProof/>
                <w:webHidden/>
              </w:rPr>
              <w:tab/>
            </w:r>
            <w:r w:rsidR="002B3377">
              <w:rPr>
                <w:noProof/>
                <w:webHidden/>
              </w:rPr>
              <w:fldChar w:fldCharType="begin"/>
            </w:r>
            <w:r w:rsidR="002B3377">
              <w:rPr>
                <w:noProof/>
                <w:webHidden/>
              </w:rPr>
              <w:instrText xml:space="preserve"> PAGEREF _Toc426376585 \h </w:instrText>
            </w:r>
            <w:r w:rsidR="002B3377">
              <w:rPr>
                <w:noProof/>
                <w:webHidden/>
              </w:rPr>
            </w:r>
            <w:r w:rsidR="002B3377">
              <w:rPr>
                <w:noProof/>
                <w:webHidden/>
              </w:rPr>
              <w:fldChar w:fldCharType="separate"/>
            </w:r>
            <w:r w:rsidR="000E7B4A">
              <w:rPr>
                <w:noProof/>
                <w:webHidden/>
              </w:rPr>
              <w:t>1</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586" w:history="1">
            <w:r w:rsidR="002B3377" w:rsidRPr="00941D5D">
              <w:rPr>
                <w:rStyle w:val="Hyperlink"/>
                <w:noProof/>
              </w:rPr>
              <w:t>National groups</w:t>
            </w:r>
            <w:r w:rsidR="002B3377">
              <w:rPr>
                <w:noProof/>
                <w:webHidden/>
              </w:rPr>
              <w:tab/>
            </w:r>
            <w:r w:rsidR="002B3377">
              <w:rPr>
                <w:noProof/>
                <w:webHidden/>
              </w:rPr>
              <w:fldChar w:fldCharType="begin"/>
            </w:r>
            <w:r w:rsidR="002B3377">
              <w:rPr>
                <w:noProof/>
                <w:webHidden/>
              </w:rPr>
              <w:instrText xml:space="preserve"> PAGEREF _Toc426376586 \h </w:instrText>
            </w:r>
            <w:r w:rsidR="002B3377">
              <w:rPr>
                <w:noProof/>
                <w:webHidden/>
              </w:rPr>
            </w:r>
            <w:r w:rsidR="002B3377">
              <w:rPr>
                <w:noProof/>
                <w:webHidden/>
              </w:rPr>
              <w:fldChar w:fldCharType="separate"/>
            </w:r>
            <w:r w:rsidR="000E7B4A">
              <w:rPr>
                <w:noProof/>
                <w:webHidden/>
              </w:rPr>
              <w:t>1</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87" w:history="1">
            <w:r w:rsidR="002B3377" w:rsidRPr="00941D5D">
              <w:rPr>
                <w:rStyle w:val="Hyperlink"/>
                <w:noProof/>
              </w:rPr>
              <w:t>Company strategies</w:t>
            </w:r>
            <w:r w:rsidR="002B3377">
              <w:rPr>
                <w:noProof/>
                <w:webHidden/>
              </w:rPr>
              <w:tab/>
            </w:r>
            <w:r w:rsidR="002B3377">
              <w:rPr>
                <w:noProof/>
                <w:webHidden/>
              </w:rPr>
              <w:fldChar w:fldCharType="begin"/>
            </w:r>
            <w:r w:rsidR="002B3377">
              <w:rPr>
                <w:noProof/>
                <w:webHidden/>
              </w:rPr>
              <w:instrText xml:space="preserve"> PAGEREF _Toc426376587 \h </w:instrText>
            </w:r>
            <w:r w:rsidR="002B3377">
              <w:rPr>
                <w:noProof/>
                <w:webHidden/>
              </w:rPr>
            </w:r>
            <w:r w:rsidR="002B3377">
              <w:rPr>
                <w:noProof/>
                <w:webHidden/>
              </w:rPr>
              <w:fldChar w:fldCharType="separate"/>
            </w:r>
            <w:r w:rsidR="000E7B4A">
              <w:rPr>
                <w:noProof/>
                <w:webHidden/>
              </w:rPr>
              <w:t>1</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88" w:history="1">
            <w:r w:rsidR="002B3377" w:rsidRPr="00941D5D">
              <w:rPr>
                <w:rStyle w:val="Hyperlink"/>
                <w:noProof/>
              </w:rPr>
              <w:t>Support for sustainability</w:t>
            </w:r>
            <w:r w:rsidR="002B3377">
              <w:rPr>
                <w:noProof/>
                <w:webHidden/>
              </w:rPr>
              <w:tab/>
            </w:r>
            <w:r w:rsidR="002B3377">
              <w:rPr>
                <w:noProof/>
                <w:webHidden/>
              </w:rPr>
              <w:fldChar w:fldCharType="begin"/>
            </w:r>
            <w:r w:rsidR="002B3377">
              <w:rPr>
                <w:noProof/>
                <w:webHidden/>
              </w:rPr>
              <w:instrText xml:space="preserve"> PAGEREF _Toc426376588 \h </w:instrText>
            </w:r>
            <w:r w:rsidR="002B3377">
              <w:rPr>
                <w:noProof/>
                <w:webHidden/>
              </w:rPr>
            </w:r>
            <w:r w:rsidR="002B3377">
              <w:rPr>
                <w:noProof/>
                <w:webHidden/>
              </w:rPr>
              <w:fldChar w:fldCharType="separate"/>
            </w:r>
            <w:r w:rsidR="000E7B4A">
              <w:rPr>
                <w:noProof/>
                <w:webHidden/>
              </w:rPr>
              <w:t>2</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589" w:history="1">
            <w:r w:rsidR="002B3377" w:rsidRPr="00941D5D">
              <w:rPr>
                <w:rStyle w:val="Hyperlink"/>
                <w:noProof/>
              </w:rPr>
              <w:t>Local independent suppliers (SMEs)</w:t>
            </w:r>
            <w:r w:rsidR="002B3377">
              <w:rPr>
                <w:noProof/>
                <w:webHidden/>
              </w:rPr>
              <w:tab/>
            </w:r>
            <w:r w:rsidR="002B3377">
              <w:rPr>
                <w:noProof/>
                <w:webHidden/>
              </w:rPr>
              <w:fldChar w:fldCharType="begin"/>
            </w:r>
            <w:r w:rsidR="002B3377">
              <w:rPr>
                <w:noProof/>
                <w:webHidden/>
              </w:rPr>
              <w:instrText xml:space="preserve"> PAGEREF _Toc426376589 \h </w:instrText>
            </w:r>
            <w:r w:rsidR="002B3377">
              <w:rPr>
                <w:noProof/>
                <w:webHidden/>
              </w:rPr>
            </w:r>
            <w:r w:rsidR="002B3377">
              <w:rPr>
                <w:noProof/>
                <w:webHidden/>
              </w:rPr>
              <w:fldChar w:fldCharType="separate"/>
            </w:r>
            <w:r w:rsidR="000E7B4A">
              <w:rPr>
                <w:noProof/>
                <w:webHidden/>
              </w:rPr>
              <w:t>2</w:t>
            </w:r>
            <w:r w:rsidR="002B3377">
              <w:rPr>
                <w:noProof/>
                <w:webHidden/>
              </w:rPr>
              <w:fldChar w:fldCharType="end"/>
            </w:r>
          </w:hyperlink>
        </w:p>
        <w:p w:rsidR="002B3377" w:rsidRDefault="002E01BD">
          <w:pPr>
            <w:pStyle w:val="TOC1"/>
            <w:tabs>
              <w:tab w:val="right" w:leader="dot" w:pos="9016"/>
            </w:tabs>
            <w:rPr>
              <w:rFonts w:eastAsiaTheme="minorEastAsia"/>
              <w:noProof/>
              <w:lang w:eastAsia="en-GB"/>
            </w:rPr>
          </w:pPr>
          <w:hyperlink w:anchor="_Toc426376590" w:history="1">
            <w:r w:rsidR="002B3377" w:rsidRPr="00941D5D">
              <w:rPr>
                <w:rStyle w:val="Hyperlink"/>
                <w:noProof/>
              </w:rPr>
              <w:t>Factors affecting attitudes to sustainability within the DIY and construction material and component supply sector in England.</w:t>
            </w:r>
            <w:r w:rsidR="002B3377">
              <w:rPr>
                <w:noProof/>
                <w:webHidden/>
              </w:rPr>
              <w:tab/>
            </w:r>
            <w:r w:rsidR="002B3377">
              <w:rPr>
                <w:noProof/>
                <w:webHidden/>
              </w:rPr>
              <w:fldChar w:fldCharType="begin"/>
            </w:r>
            <w:r w:rsidR="002B3377">
              <w:rPr>
                <w:noProof/>
                <w:webHidden/>
              </w:rPr>
              <w:instrText xml:space="preserve"> PAGEREF _Toc426376590 \h </w:instrText>
            </w:r>
            <w:r w:rsidR="002B3377">
              <w:rPr>
                <w:noProof/>
                <w:webHidden/>
              </w:rPr>
            </w:r>
            <w:r w:rsidR="002B3377">
              <w:rPr>
                <w:noProof/>
                <w:webHidden/>
              </w:rPr>
              <w:fldChar w:fldCharType="separate"/>
            </w:r>
            <w:r w:rsidR="000E7B4A">
              <w:rPr>
                <w:noProof/>
                <w:webHidden/>
              </w:rPr>
              <w:t>3</w:t>
            </w:r>
            <w:r w:rsidR="002B3377">
              <w:rPr>
                <w:noProof/>
                <w:webHidden/>
              </w:rPr>
              <w:fldChar w:fldCharType="end"/>
            </w:r>
          </w:hyperlink>
        </w:p>
        <w:p w:rsidR="002B3377" w:rsidRDefault="002E01BD">
          <w:pPr>
            <w:pStyle w:val="TOC1"/>
            <w:tabs>
              <w:tab w:val="right" w:leader="dot" w:pos="9016"/>
            </w:tabs>
            <w:rPr>
              <w:rFonts w:eastAsiaTheme="minorEastAsia"/>
              <w:noProof/>
              <w:lang w:eastAsia="en-GB"/>
            </w:rPr>
          </w:pPr>
          <w:hyperlink w:anchor="_Toc426376591" w:history="1">
            <w:r w:rsidR="002B3377" w:rsidRPr="00941D5D">
              <w:rPr>
                <w:rStyle w:val="Hyperlink"/>
                <w:noProof/>
              </w:rPr>
              <w:t>Impact on customers</w:t>
            </w:r>
            <w:r w:rsidR="002B3377">
              <w:rPr>
                <w:noProof/>
                <w:webHidden/>
              </w:rPr>
              <w:tab/>
            </w:r>
            <w:r w:rsidR="002B3377">
              <w:rPr>
                <w:noProof/>
                <w:webHidden/>
              </w:rPr>
              <w:fldChar w:fldCharType="begin"/>
            </w:r>
            <w:r w:rsidR="002B3377">
              <w:rPr>
                <w:noProof/>
                <w:webHidden/>
              </w:rPr>
              <w:instrText xml:space="preserve"> PAGEREF _Toc426376591 \h </w:instrText>
            </w:r>
            <w:r w:rsidR="002B3377">
              <w:rPr>
                <w:noProof/>
                <w:webHidden/>
              </w:rPr>
            </w:r>
            <w:r w:rsidR="002B3377">
              <w:rPr>
                <w:noProof/>
                <w:webHidden/>
              </w:rPr>
              <w:fldChar w:fldCharType="separate"/>
            </w:r>
            <w:r w:rsidR="000E7B4A">
              <w:rPr>
                <w:noProof/>
                <w:webHidden/>
              </w:rPr>
              <w:t>4</w:t>
            </w:r>
            <w:r w:rsidR="002B3377">
              <w:rPr>
                <w:noProof/>
                <w:webHidden/>
              </w:rPr>
              <w:fldChar w:fldCharType="end"/>
            </w:r>
          </w:hyperlink>
        </w:p>
        <w:p w:rsidR="002B3377" w:rsidRDefault="002E01BD">
          <w:pPr>
            <w:pStyle w:val="TOC1"/>
            <w:tabs>
              <w:tab w:val="right" w:leader="dot" w:pos="9016"/>
            </w:tabs>
            <w:rPr>
              <w:rFonts w:eastAsiaTheme="minorEastAsia"/>
              <w:noProof/>
              <w:lang w:eastAsia="en-GB"/>
            </w:rPr>
          </w:pPr>
          <w:hyperlink w:anchor="_Toc426376592" w:history="1">
            <w:r w:rsidR="002B3377" w:rsidRPr="00941D5D">
              <w:rPr>
                <w:rStyle w:val="Hyperlink"/>
                <w:noProof/>
              </w:rPr>
              <w:t>Appendix – National company strategies</w:t>
            </w:r>
            <w:r w:rsidR="002B3377">
              <w:rPr>
                <w:noProof/>
                <w:webHidden/>
              </w:rPr>
              <w:tab/>
            </w:r>
            <w:r w:rsidR="002B3377">
              <w:rPr>
                <w:noProof/>
                <w:webHidden/>
              </w:rPr>
              <w:fldChar w:fldCharType="begin"/>
            </w:r>
            <w:r w:rsidR="002B3377">
              <w:rPr>
                <w:noProof/>
                <w:webHidden/>
              </w:rPr>
              <w:instrText xml:space="preserve"> PAGEREF _Toc426376592 \h </w:instrText>
            </w:r>
            <w:r w:rsidR="002B3377">
              <w:rPr>
                <w:noProof/>
                <w:webHidden/>
              </w:rPr>
            </w:r>
            <w:r w:rsidR="002B3377">
              <w:rPr>
                <w:noProof/>
                <w:webHidden/>
              </w:rPr>
              <w:fldChar w:fldCharType="separate"/>
            </w:r>
            <w:r w:rsidR="000E7B4A">
              <w:rPr>
                <w:noProof/>
                <w:webHidden/>
              </w:rPr>
              <w:t>5</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593" w:history="1">
            <w:r w:rsidR="002B3377" w:rsidRPr="00941D5D">
              <w:rPr>
                <w:rStyle w:val="Hyperlink"/>
                <w:noProof/>
              </w:rPr>
              <w:t>Travis Perkins</w:t>
            </w:r>
            <w:r w:rsidR="002B3377">
              <w:rPr>
                <w:noProof/>
                <w:webHidden/>
              </w:rPr>
              <w:tab/>
            </w:r>
            <w:r w:rsidR="002B3377">
              <w:rPr>
                <w:noProof/>
                <w:webHidden/>
              </w:rPr>
              <w:fldChar w:fldCharType="begin"/>
            </w:r>
            <w:r w:rsidR="002B3377">
              <w:rPr>
                <w:noProof/>
                <w:webHidden/>
              </w:rPr>
              <w:instrText xml:space="preserve"> PAGEREF _Toc426376593 \h </w:instrText>
            </w:r>
            <w:r w:rsidR="002B3377">
              <w:rPr>
                <w:noProof/>
                <w:webHidden/>
              </w:rPr>
            </w:r>
            <w:r w:rsidR="002B3377">
              <w:rPr>
                <w:noProof/>
                <w:webHidden/>
              </w:rPr>
              <w:fldChar w:fldCharType="separate"/>
            </w:r>
            <w:r w:rsidR="000E7B4A">
              <w:rPr>
                <w:noProof/>
                <w:webHidden/>
              </w:rPr>
              <w:t>5</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94" w:history="1">
            <w:r w:rsidR="002B3377" w:rsidRPr="00941D5D">
              <w:rPr>
                <w:rStyle w:val="Hyperlink"/>
                <w:noProof/>
              </w:rPr>
              <w:t>Levers of value creation</w:t>
            </w:r>
            <w:r w:rsidR="002B3377">
              <w:rPr>
                <w:noProof/>
                <w:webHidden/>
              </w:rPr>
              <w:tab/>
            </w:r>
            <w:r w:rsidR="002B3377">
              <w:rPr>
                <w:noProof/>
                <w:webHidden/>
              </w:rPr>
              <w:fldChar w:fldCharType="begin"/>
            </w:r>
            <w:r w:rsidR="002B3377">
              <w:rPr>
                <w:noProof/>
                <w:webHidden/>
              </w:rPr>
              <w:instrText xml:space="preserve"> PAGEREF _Toc426376594 \h </w:instrText>
            </w:r>
            <w:r w:rsidR="002B3377">
              <w:rPr>
                <w:noProof/>
                <w:webHidden/>
              </w:rPr>
            </w:r>
            <w:r w:rsidR="002B3377">
              <w:rPr>
                <w:noProof/>
                <w:webHidden/>
              </w:rPr>
              <w:fldChar w:fldCharType="separate"/>
            </w:r>
            <w:r w:rsidR="000E7B4A">
              <w:rPr>
                <w:noProof/>
                <w:webHidden/>
              </w:rPr>
              <w:t>5</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95" w:history="1">
            <w:r w:rsidR="002B3377" w:rsidRPr="00941D5D">
              <w:rPr>
                <w:rStyle w:val="Hyperlink"/>
                <w:noProof/>
              </w:rPr>
              <w:t>Divisional strategy</w:t>
            </w:r>
            <w:r w:rsidR="002B3377">
              <w:rPr>
                <w:noProof/>
                <w:webHidden/>
              </w:rPr>
              <w:tab/>
            </w:r>
            <w:r w:rsidR="002B3377">
              <w:rPr>
                <w:noProof/>
                <w:webHidden/>
              </w:rPr>
              <w:fldChar w:fldCharType="begin"/>
            </w:r>
            <w:r w:rsidR="002B3377">
              <w:rPr>
                <w:noProof/>
                <w:webHidden/>
              </w:rPr>
              <w:instrText xml:space="preserve"> PAGEREF _Toc426376595 \h </w:instrText>
            </w:r>
            <w:r w:rsidR="002B3377">
              <w:rPr>
                <w:noProof/>
                <w:webHidden/>
              </w:rPr>
            </w:r>
            <w:r w:rsidR="002B3377">
              <w:rPr>
                <w:noProof/>
                <w:webHidden/>
              </w:rPr>
              <w:fldChar w:fldCharType="separate"/>
            </w:r>
            <w:r w:rsidR="000E7B4A">
              <w:rPr>
                <w:noProof/>
                <w:webHidden/>
              </w:rPr>
              <w:t>6</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96" w:history="1">
            <w:r w:rsidR="002B3377" w:rsidRPr="00941D5D">
              <w:rPr>
                <w:rStyle w:val="Hyperlink"/>
                <w:noProof/>
              </w:rPr>
              <w:t>Our growth ambition</w:t>
            </w:r>
            <w:r w:rsidR="002B3377">
              <w:rPr>
                <w:noProof/>
                <w:webHidden/>
              </w:rPr>
              <w:tab/>
            </w:r>
            <w:r w:rsidR="002B3377">
              <w:rPr>
                <w:noProof/>
                <w:webHidden/>
              </w:rPr>
              <w:fldChar w:fldCharType="begin"/>
            </w:r>
            <w:r w:rsidR="002B3377">
              <w:rPr>
                <w:noProof/>
                <w:webHidden/>
              </w:rPr>
              <w:instrText xml:space="preserve"> PAGEREF _Toc426376596 \h </w:instrText>
            </w:r>
            <w:r w:rsidR="002B3377">
              <w:rPr>
                <w:noProof/>
                <w:webHidden/>
              </w:rPr>
            </w:r>
            <w:r w:rsidR="002B3377">
              <w:rPr>
                <w:noProof/>
                <w:webHidden/>
              </w:rPr>
              <w:fldChar w:fldCharType="separate"/>
            </w:r>
            <w:r w:rsidR="000E7B4A">
              <w:rPr>
                <w:noProof/>
                <w:webHidden/>
              </w:rPr>
              <w:t>10</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597" w:history="1">
            <w:r w:rsidR="002B3377" w:rsidRPr="00941D5D">
              <w:rPr>
                <w:rStyle w:val="Hyperlink"/>
                <w:noProof/>
              </w:rPr>
              <w:t>Saint-Gobain (Saint-Gobain Group)</w:t>
            </w:r>
            <w:r w:rsidR="002B3377">
              <w:rPr>
                <w:noProof/>
                <w:webHidden/>
              </w:rPr>
              <w:tab/>
            </w:r>
            <w:r w:rsidR="002B3377">
              <w:rPr>
                <w:noProof/>
                <w:webHidden/>
              </w:rPr>
              <w:fldChar w:fldCharType="begin"/>
            </w:r>
            <w:r w:rsidR="002B3377">
              <w:rPr>
                <w:noProof/>
                <w:webHidden/>
              </w:rPr>
              <w:instrText xml:space="preserve"> PAGEREF _Toc426376597 \h </w:instrText>
            </w:r>
            <w:r w:rsidR="002B3377">
              <w:rPr>
                <w:noProof/>
                <w:webHidden/>
              </w:rPr>
            </w:r>
            <w:r w:rsidR="002B3377">
              <w:rPr>
                <w:noProof/>
                <w:webHidden/>
              </w:rPr>
              <w:fldChar w:fldCharType="separate"/>
            </w:r>
            <w:r w:rsidR="000E7B4A">
              <w:rPr>
                <w:noProof/>
                <w:webHidden/>
              </w:rPr>
              <w:t>11</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598" w:history="1">
            <w:r w:rsidR="002B3377" w:rsidRPr="00941D5D">
              <w:rPr>
                <w:rStyle w:val="Hyperlink"/>
                <w:noProof/>
              </w:rPr>
              <w:t>Strategy</w:t>
            </w:r>
            <w:r w:rsidR="002B3377">
              <w:rPr>
                <w:noProof/>
                <w:webHidden/>
              </w:rPr>
              <w:tab/>
            </w:r>
            <w:r w:rsidR="002B3377">
              <w:rPr>
                <w:noProof/>
                <w:webHidden/>
              </w:rPr>
              <w:fldChar w:fldCharType="begin"/>
            </w:r>
            <w:r w:rsidR="002B3377">
              <w:rPr>
                <w:noProof/>
                <w:webHidden/>
              </w:rPr>
              <w:instrText xml:space="preserve"> PAGEREF _Toc426376598 \h </w:instrText>
            </w:r>
            <w:r w:rsidR="002B3377">
              <w:rPr>
                <w:noProof/>
                <w:webHidden/>
              </w:rPr>
            </w:r>
            <w:r w:rsidR="002B3377">
              <w:rPr>
                <w:noProof/>
                <w:webHidden/>
              </w:rPr>
              <w:fldChar w:fldCharType="separate"/>
            </w:r>
            <w:r w:rsidR="000E7B4A">
              <w:rPr>
                <w:noProof/>
                <w:webHidden/>
              </w:rPr>
              <w:t>11</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599" w:history="1">
            <w:r w:rsidR="002B3377" w:rsidRPr="00941D5D">
              <w:rPr>
                <w:rStyle w:val="Hyperlink"/>
                <w:noProof/>
              </w:rPr>
              <w:t>Grafton Merchanting GB (Grafton Group plc)</w:t>
            </w:r>
            <w:r w:rsidR="002B3377">
              <w:rPr>
                <w:noProof/>
                <w:webHidden/>
              </w:rPr>
              <w:tab/>
            </w:r>
            <w:r w:rsidR="002B3377">
              <w:rPr>
                <w:noProof/>
                <w:webHidden/>
              </w:rPr>
              <w:fldChar w:fldCharType="begin"/>
            </w:r>
            <w:r w:rsidR="002B3377">
              <w:rPr>
                <w:noProof/>
                <w:webHidden/>
              </w:rPr>
              <w:instrText xml:space="preserve"> PAGEREF _Toc426376599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0" w:history="1">
            <w:r w:rsidR="002B3377" w:rsidRPr="00941D5D">
              <w:rPr>
                <w:rStyle w:val="Hyperlink"/>
                <w:noProof/>
                <w:lang w:eastAsia="en-GB"/>
              </w:rPr>
              <w:t>Strategy</w:t>
            </w:r>
            <w:r w:rsidR="002B3377">
              <w:rPr>
                <w:noProof/>
                <w:webHidden/>
              </w:rPr>
              <w:tab/>
            </w:r>
            <w:r w:rsidR="002B3377">
              <w:rPr>
                <w:noProof/>
                <w:webHidden/>
              </w:rPr>
              <w:fldChar w:fldCharType="begin"/>
            </w:r>
            <w:r w:rsidR="002B3377">
              <w:rPr>
                <w:noProof/>
                <w:webHidden/>
              </w:rPr>
              <w:instrText xml:space="preserve"> PAGEREF _Toc426376600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1" w:history="1">
            <w:r w:rsidR="002B3377" w:rsidRPr="00941D5D">
              <w:rPr>
                <w:rStyle w:val="Hyperlink"/>
                <w:noProof/>
              </w:rPr>
              <w:t>Key Objectives</w:t>
            </w:r>
            <w:r w:rsidR="002B3377">
              <w:rPr>
                <w:noProof/>
                <w:webHidden/>
              </w:rPr>
              <w:tab/>
            </w:r>
            <w:r w:rsidR="002B3377">
              <w:rPr>
                <w:noProof/>
                <w:webHidden/>
              </w:rPr>
              <w:fldChar w:fldCharType="begin"/>
            </w:r>
            <w:r w:rsidR="002B3377">
              <w:rPr>
                <w:noProof/>
                <w:webHidden/>
              </w:rPr>
              <w:instrText xml:space="preserve"> PAGEREF _Toc426376601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2" w:history="1">
            <w:r w:rsidR="002B3377" w:rsidRPr="00941D5D">
              <w:rPr>
                <w:rStyle w:val="Hyperlink"/>
                <w:noProof/>
              </w:rPr>
              <w:t>Key Strengths</w:t>
            </w:r>
            <w:r w:rsidR="002B3377">
              <w:rPr>
                <w:noProof/>
                <w:webHidden/>
              </w:rPr>
              <w:tab/>
            </w:r>
            <w:r w:rsidR="002B3377">
              <w:rPr>
                <w:noProof/>
                <w:webHidden/>
              </w:rPr>
              <w:fldChar w:fldCharType="begin"/>
            </w:r>
            <w:r w:rsidR="002B3377">
              <w:rPr>
                <w:noProof/>
                <w:webHidden/>
              </w:rPr>
              <w:instrText xml:space="preserve"> PAGEREF _Toc426376602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2"/>
            <w:tabs>
              <w:tab w:val="right" w:leader="dot" w:pos="9016"/>
            </w:tabs>
            <w:rPr>
              <w:rFonts w:eastAsiaTheme="minorEastAsia"/>
              <w:noProof/>
              <w:lang w:eastAsia="en-GB"/>
            </w:rPr>
          </w:pPr>
          <w:hyperlink w:anchor="_Toc426376603" w:history="1">
            <w:r w:rsidR="002B3377" w:rsidRPr="00941D5D">
              <w:rPr>
                <w:rStyle w:val="Hyperlink"/>
                <w:noProof/>
              </w:rPr>
              <w:t>B &amp; Q. (Kingfisher)</w:t>
            </w:r>
            <w:r w:rsidR="002B3377">
              <w:rPr>
                <w:noProof/>
                <w:webHidden/>
              </w:rPr>
              <w:tab/>
            </w:r>
            <w:r w:rsidR="002B3377">
              <w:rPr>
                <w:noProof/>
                <w:webHidden/>
              </w:rPr>
              <w:fldChar w:fldCharType="begin"/>
            </w:r>
            <w:r w:rsidR="002B3377">
              <w:rPr>
                <w:noProof/>
                <w:webHidden/>
              </w:rPr>
              <w:instrText xml:space="preserve"> PAGEREF _Toc426376603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4" w:history="1">
            <w:r w:rsidR="002B3377" w:rsidRPr="00941D5D">
              <w:rPr>
                <w:rStyle w:val="Hyperlink"/>
                <w:noProof/>
              </w:rPr>
              <w:t>Our strategy – Creating the Leader</w:t>
            </w:r>
            <w:r w:rsidR="002B3377">
              <w:rPr>
                <w:noProof/>
                <w:webHidden/>
              </w:rPr>
              <w:tab/>
            </w:r>
            <w:r w:rsidR="002B3377">
              <w:rPr>
                <w:noProof/>
                <w:webHidden/>
              </w:rPr>
              <w:fldChar w:fldCharType="begin"/>
            </w:r>
            <w:r w:rsidR="002B3377">
              <w:rPr>
                <w:noProof/>
                <w:webHidden/>
              </w:rPr>
              <w:instrText xml:space="preserve"> PAGEREF _Toc426376604 \h </w:instrText>
            </w:r>
            <w:r w:rsidR="002B3377">
              <w:rPr>
                <w:noProof/>
                <w:webHidden/>
              </w:rPr>
            </w:r>
            <w:r w:rsidR="002B3377">
              <w:rPr>
                <w:noProof/>
                <w:webHidden/>
              </w:rPr>
              <w:fldChar w:fldCharType="separate"/>
            </w:r>
            <w:r w:rsidR="000E7B4A">
              <w:rPr>
                <w:noProof/>
                <w:webHidden/>
              </w:rPr>
              <w:t>14</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5" w:history="1">
            <w:r w:rsidR="002B3377" w:rsidRPr="00941D5D">
              <w:rPr>
                <w:rStyle w:val="Hyperlink"/>
                <w:noProof/>
              </w:rPr>
              <w:t>Purpose</w:t>
            </w:r>
            <w:r w:rsidR="002B3377">
              <w:rPr>
                <w:noProof/>
                <w:webHidden/>
              </w:rPr>
              <w:tab/>
            </w:r>
            <w:r w:rsidR="002B3377">
              <w:rPr>
                <w:noProof/>
                <w:webHidden/>
              </w:rPr>
              <w:fldChar w:fldCharType="begin"/>
            </w:r>
            <w:r w:rsidR="002B3377">
              <w:rPr>
                <w:noProof/>
                <w:webHidden/>
              </w:rPr>
              <w:instrText xml:space="preserve"> PAGEREF _Toc426376605 \h </w:instrText>
            </w:r>
            <w:r w:rsidR="002B3377">
              <w:rPr>
                <w:noProof/>
                <w:webHidden/>
              </w:rPr>
            </w:r>
            <w:r w:rsidR="002B3377">
              <w:rPr>
                <w:noProof/>
                <w:webHidden/>
              </w:rPr>
              <w:fldChar w:fldCharType="separate"/>
            </w:r>
            <w:r w:rsidR="000E7B4A">
              <w:rPr>
                <w:noProof/>
                <w:webHidden/>
              </w:rPr>
              <w:t>15</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6" w:history="1">
            <w:r w:rsidR="002B3377" w:rsidRPr="00941D5D">
              <w:rPr>
                <w:rStyle w:val="Hyperlink"/>
                <w:noProof/>
              </w:rPr>
              <w:t>Objectives</w:t>
            </w:r>
            <w:r w:rsidR="002B3377">
              <w:rPr>
                <w:noProof/>
                <w:webHidden/>
              </w:rPr>
              <w:tab/>
            </w:r>
            <w:r w:rsidR="002B3377">
              <w:rPr>
                <w:noProof/>
                <w:webHidden/>
              </w:rPr>
              <w:fldChar w:fldCharType="begin"/>
            </w:r>
            <w:r w:rsidR="002B3377">
              <w:rPr>
                <w:noProof/>
                <w:webHidden/>
              </w:rPr>
              <w:instrText xml:space="preserve"> PAGEREF _Toc426376606 \h </w:instrText>
            </w:r>
            <w:r w:rsidR="002B3377">
              <w:rPr>
                <w:noProof/>
                <w:webHidden/>
              </w:rPr>
            </w:r>
            <w:r w:rsidR="002B3377">
              <w:rPr>
                <w:noProof/>
                <w:webHidden/>
              </w:rPr>
              <w:fldChar w:fldCharType="separate"/>
            </w:r>
            <w:r w:rsidR="000E7B4A">
              <w:rPr>
                <w:noProof/>
                <w:webHidden/>
              </w:rPr>
              <w:t>15</w:t>
            </w:r>
            <w:r w:rsidR="002B3377">
              <w:rPr>
                <w:noProof/>
                <w:webHidden/>
              </w:rPr>
              <w:fldChar w:fldCharType="end"/>
            </w:r>
          </w:hyperlink>
        </w:p>
        <w:p w:rsidR="002B3377" w:rsidRDefault="002E01BD">
          <w:pPr>
            <w:pStyle w:val="TOC3"/>
            <w:tabs>
              <w:tab w:val="right" w:leader="dot" w:pos="9016"/>
            </w:tabs>
            <w:rPr>
              <w:rFonts w:eastAsiaTheme="minorEastAsia"/>
              <w:noProof/>
              <w:lang w:eastAsia="en-GB"/>
            </w:rPr>
          </w:pPr>
          <w:hyperlink w:anchor="_Toc426376607" w:history="1">
            <w:r w:rsidR="002B3377" w:rsidRPr="00941D5D">
              <w:rPr>
                <w:rStyle w:val="Hyperlink"/>
                <w:noProof/>
              </w:rPr>
              <w:t>Financial benefits</w:t>
            </w:r>
            <w:r w:rsidR="002B3377">
              <w:rPr>
                <w:noProof/>
                <w:webHidden/>
              </w:rPr>
              <w:tab/>
            </w:r>
            <w:r w:rsidR="002B3377">
              <w:rPr>
                <w:noProof/>
                <w:webHidden/>
              </w:rPr>
              <w:fldChar w:fldCharType="begin"/>
            </w:r>
            <w:r w:rsidR="002B3377">
              <w:rPr>
                <w:noProof/>
                <w:webHidden/>
              </w:rPr>
              <w:instrText xml:space="preserve"> PAGEREF _Toc426376607 \h </w:instrText>
            </w:r>
            <w:r w:rsidR="002B3377">
              <w:rPr>
                <w:noProof/>
                <w:webHidden/>
              </w:rPr>
            </w:r>
            <w:r w:rsidR="002B3377">
              <w:rPr>
                <w:noProof/>
                <w:webHidden/>
              </w:rPr>
              <w:fldChar w:fldCharType="separate"/>
            </w:r>
            <w:r w:rsidR="000E7B4A">
              <w:rPr>
                <w:noProof/>
                <w:webHidden/>
              </w:rPr>
              <w:t>15</w:t>
            </w:r>
            <w:r w:rsidR="002B3377">
              <w:rPr>
                <w:noProof/>
                <w:webHidden/>
              </w:rPr>
              <w:fldChar w:fldCharType="end"/>
            </w:r>
          </w:hyperlink>
        </w:p>
        <w:p w:rsidR="002B3377" w:rsidRDefault="002B3377">
          <w:r>
            <w:rPr>
              <w:b/>
              <w:bCs/>
              <w:noProof/>
            </w:rPr>
            <w:fldChar w:fldCharType="end"/>
          </w:r>
        </w:p>
      </w:sdtContent>
    </w:sdt>
    <w:p w:rsidR="002B3377" w:rsidRDefault="002B3377">
      <w:pPr>
        <w:rPr>
          <w:rFonts w:asciiTheme="majorHAnsi" w:eastAsiaTheme="majorEastAsia" w:hAnsiTheme="majorHAnsi" w:cstheme="majorBidi"/>
          <w:b/>
          <w:bCs/>
          <w:color w:val="365F91" w:themeColor="accent1" w:themeShade="BF"/>
          <w:sz w:val="28"/>
          <w:szCs w:val="28"/>
        </w:rPr>
      </w:pPr>
      <w:r>
        <w:br w:type="page"/>
      </w:r>
    </w:p>
    <w:p w:rsidR="002B3377" w:rsidRDefault="002B3377">
      <w:r>
        <w:lastRenderedPageBreak/>
        <w:br w:type="page"/>
      </w:r>
    </w:p>
    <w:p w:rsidR="002B3377" w:rsidRDefault="002B3377" w:rsidP="002B3377">
      <w:pPr>
        <w:pStyle w:val="Heading1"/>
        <w:sectPr w:rsidR="002B3377">
          <w:headerReference w:type="default" r:id="rId11"/>
          <w:footerReference w:type="default" r:id="rId12"/>
          <w:pgSz w:w="11906" w:h="16838"/>
          <w:pgMar w:top="1440" w:right="1440" w:bottom="1440" w:left="1440" w:header="708" w:footer="708" w:gutter="0"/>
          <w:cols w:space="708"/>
          <w:docGrid w:linePitch="360"/>
        </w:sectPr>
      </w:pPr>
    </w:p>
    <w:p w:rsidR="00B838F8" w:rsidRPr="002B3377" w:rsidRDefault="00B838F8" w:rsidP="002B3377">
      <w:pPr>
        <w:pStyle w:val="Heading1"/>
      </w:pPr>
      <w:bookmarkStart w:id="7" w:name="_Toc426376584"/>
      <w:r>
        <w:lastRenderedPageBreak/>
        <w:t>Introduction</w:t>
      </w:r>
      <w:bookmarkEnd w:id="7"/>
    </w:p>
    <w:p w:rsidR="009D1907" w:rsidRDefault="00B838F8" w:rsidP="00B838F8">
      <w:r>
        <w:t xml:space="preserve">The building sector has a major role to play in the implementation of measures to promote sustainability, and climate adaptation and mitigation. At household scale, the </w:t>
      </w:r>
      <w:r w:rsidR="009D1907">
        <w:t>implementation of such measures depends on the awareness, motivation and capacity of three distinct groups:</w:t>
      </w:r>
    </w:p>
    <w:p w:rsidR="00B838F8" w:rsidRDefault="009D1907" w:rsidP="00BA54DC">
      <w:pPr>
        <w:pStyle w:val="ListParagraph"/>
        <w:numPr>
          <w:ilvl w:val="0"/>
          <w:numId w:val="1"/>
        </w:numPr>
      </w:pPr>
      <w:r>
        <w:t>Property owners and occupiers who ultimately pay for the implementation of the measures</w:t>
      </w:r>
    </w:p>
    <w:p w:rsidR="009D1907" w:rsidRDefault="009D1907" w:rsidP="00BA54DC">
      <w:pPr>
        <w:pStyle w:val="ListParagraph"/>
        <w:numPr>
          <w:ilvl w:val="0"/>
          <w:numId w:val="1"/>
        </w:numPr>
      </w:pPr>
      <w:r>
        <w:t>The Small and Medium Enterprise construction sector, often with emphasis on the small at household scale</w:t>
      </w:r>
    </w:p>
    <w:p w:rsidR="009D1907" w:rsidRDefault="009D1907" w:rsidP="00BA54DC">
      <w:pPr>
        <w:pStyle w:val="ListParagraph"/>
        <w:numPr>
          <w:ilvl w:val="0"/>
          <w:numId w:val="1"/>
        </w:numPr>
      </w:pPr>
      <w:r>
        <w:t xml:space="preserve">The DIY and </w:t>
      </w:r>
      <w:r w:rsidR="00FB3ACA">
        <w:t>construction</w:t>
      </w:r>
      <w:r>
        <w:t xml:space="preserve"> material </w:t>
      </w:r>
      <w:r w:rsidR="00FB3ACA">
        <w:t xml:space="preserve">and component </w:t>
      </w:r>
      <w:r>
        <w:t>supply sector comprising national groups and local suppliers.</w:t>
      </w:r>
    </w:p>
    <w:p w:rsidR="009D1907" w:rsidRDefault="00FB3ACA" w:rsidP="009D1907">
      <w:r>
        <w:t xml:space="preserve">Each of these groups has a significant influence on the uptake of sustainability and climate adaptation and mitigation measures, but the DIY and </w:t>
      </w:r>
      <w:r w:rsidR="0099423C">
        <w:t>construction</w:t>
      </w:r>
      <w:r>
        <w:t xml:space="preserve"> material </w:t>
      </w:r>
      <w:r w:rsidR="0099423C">
        <w:t xml:space="preserve">and component </w:t>
      </w:r>
      <w:r>
        <w:t xml:space="preserve">supply sector has a potentially significant role in raising the awareness of its customers and providing ease of access to </w:t>
      </w:r>
      <w:r w:rsidR="0099423C">
        <w:t>the relevant products.</w:t>
      </w:r>
    </w:p>
    <w:p w:rsidR="00FD2CEF" w:rsidRDefault="0099423C" w:rsidP="009D1907">
      <w:r>
        <w:t xml:space="preserve">However, such organisations are commercial concerns operating in a competitive market and as such have to satisfy the needs and demands of the other two groups, otherwise they will lose custom and fail in their obligations to their shareholders. In order to understand how this sector can contribute to mainstreaming sustainability and climate adaptation and mitigation and arrive at reasonable expectations about its potential contribution, it is necessary to understand the context within which it operates. </w:t>
      </w:r>
    </w:p>
    <w:p w:rsidR="005C143B" w:rsidRDefault="0099423C" w:rsidP="009D1907">
      <w:r>
        <w:t xml:space="preserve">Once this understanding has been developed, it will then be possible to identify what needs to be done by </w:t>
      </w:r>
      <w:r w:rsidR="00FD2CEF">
        <w:t>others in order to enable this sectors potential role to be fulfilled.</w:t>
      </w:r>
    </w:p>
    <w:p w:rsidR="005C143B" w:rsidRDefault="005C143B" w:rsidP="005C143B">
      <w:pPr>
        <w:pStyle w:val="Heading1"/>
      </w:pPr>
      <w:bookmarkStart w:id="8" w:name="_Toc426376585"/>
      <w:r>
        <w:t>The DIY and construction material and component supply sector in the UK</w:t>
      </w:r>
      <w:bookmarkEnd w:id="8"/>
    </w:p>
    <w:p w:rsidR="000A33FB" w:rsidRPr="000A33FB" w:rsidRDefault="000A33FB" w:rsidP="000A33FB">
      <w:pPr>
        <w:pStyle w:val="Heading2"/>
      </w:pPr>
      <w:bookmarkStart w:id="9" w:name="_Toc426376586"/>
      <w:r>
        <w:t>National groups</w:t>
      </w:r>
      <w:bookmarkEnd w:id="9"/>
    </w:p>
    <w:p w:rsidR="0099423C" w:rsidRDefault="005C143B" w:rsidP="005C143B">
      <w:r>
        <w:t>This sector comprises a number of national groups, each trading through a range of generalist and specialist</w:t>
      </w:r>
      <w:r w:rsidR="00FD2CEF">
        <w:t xml:space="preserve"> </w:t>
      </w:r>
      <w:r>
        <w:t>brands aimed at the new build and property improvement sectors and at the infrastructure sectors. Examples of these groups include:</w:t>
      </w:r>
    </w:p>
    <w:p w:rsidR="005C143B" w:rsidRDefault="002E01BD" w:rsidP="00BA54DC">
      <w:pPr>
        <w:pStyle w:val="ListParagraph"/>
        <w:numPr>
          <w:ilvl w:val="0"/>
          <w:numId w:val="2"/>
        </w:numPr>
      </w:pPr>
      <w:hyperlink r:id="rId13" w:history="1">
        <w:r w:rsidR="005C143B" w:rsidRPr="005C143B">
          <w:rPr>
            <w:rStyle w:val="Hyperlink"/>
          </w:rPr>
          <w:t>Travis Perkins plc</w:t>
        </w:r>
      </w:hyperlink>
    </w:p>
    <w:p w:rsidR="005C143B" w:rsidRDefault="002E01BD" w:rsidP="00BA54DC">
      <w:pPr>
        <w:pStyle w:val="ListParagraph"/>
        <w:numPr>
          <w:ilvl w:val="0"/>
          <w:numId w:val="2"/>
        </w:numPr>
      </w:pPr>
      <w:hyperlink r:id="rId14" w:history="1">
        <w:r w:rsidR="00ED797D" w:rsidRPr="00ED797D">
          <w:rPr>
            <w:rStyle w:val="Hyperlink"/>
          </w:rPr>
          <w:t>Saint-Gobain Ltd</w:t>
        </w:r>
      </w:hyperlink>
      <w:r w:rsidR="00ED797D">
        <w:t>, a subsidiary of the international Saint-Gobain Group</w:t>
      </w:r>
    </w:p>
    <w:p w:rsidR="00ED797D" w:rsidRDefault="002E01BD" w:rsidP="00BA54DC">
      <w:pPr>
        <w:pStyle w:val="ListParagraph"/>
        <w:numPr>
          <w:ilvl w:val="0"/>
          <w:numId w:val="2"/>
        </w:numPr>
      </w:pPr>
      <w:hyperlink r:id="rId15" w:history="1">
        <w:r w:rsidR="00ED797D" w:rsidRPr="00ED797D">
          <w:rPr>
            <w:rStyle w:val="Hyperlink"/>
          </w:rPr>
          <w:t xml:space="preserve">Grafton </w:t>
        </w:r>
        <w:proofErr w:type="spellStart"/>
        <w:r w:rsidR="00ED797D" w:rsidRPr="00ED797D">
          <w:rPr>
            <w:rStyle w:val="Hyperlink"/>
          </w:rPr>
          <w:t>Merchanting</w:t>
        </w:r>
        <w:proofErr w:type="spellEnd"/>
        <w:r w:rsidR="00ED797D" w:rsidRPr="00ED797D">
          <w:rPr>
            <w:rStyle w:val="Hyperlink"/>
          </w:rPr>
          <w:t xml:space="preserve"> GB</w:t>
        </w:r>
      </w:hyperlink>
      <w:r w:rsidR="00ED797D">
        <w:t>, the UK trading arm of Grafton Group plc.</w:t>
      </w:r>
    </w:p>
    <w:p w:rsidR="00172F0A" w:rsidRDefault="00067C1C" w:rsidP="00067C1C">
      <w:r>
        <w:t xml:space="preserve">In addition to these diverse national groups </w:t>
      </w:r>
      <w:hyperlink r:id="rId16" w:history="1">
        <w:r w:rsidRPr="00172F0A">
          <w:rPr>
            <w:rStyle w:val="Hyperlink"/>
          </w:rPr>
          <w:t>B &amp; Q plc</w:t>
        </w:r>
      </w:hyperlink>
      <w:r>
        <w:t xml:space="preserve">., a subsidiary of the Kingfisher plc, is the UK’s largest </w:t>
      </w:r>
      <w:r w:rsidR="00172F0A">
        <w:t>home improvement and gardening retailer, providing many of the services of the national groups under a single banner.</w:t>
      </w:r>
    </w:p>
    <w:p w:rsidR="000A33FB" w:rsidRDefault="000A33FB" w:rsidP="000A33FB">
      <w:pPr>
        <w:pStyle w:val="Heading3"/>
      </w:pPr>
      <w:bookmarkStart w:id="10" w:name="_Toc426376587"/>
      <w:r>
        <w:t>Company strategies</w:t>
      </w:r>
      <w:bookmarkEnd w:id="10"/>
    </w:p>
    <w:p w:rsidR="00DA444C" w:rsidRDefault="000A33FB" w:rsidP="000A33FB">
      <w:r>
        <w:t xml:space="preserve">Sustainability is to one degree or another reflected within the </w:t>
      </w:r>
      <w:r w:rsidR="00DA444C">
        <w:t xml:space="preserve">business </w:t>
      </w:r>
      <w:r>
        <w:t>strategies of these four company groups</w:t>
      </w:r>
      <w:r w:rsidR="00DA444C">
        <w:t xml:space="preserve">. However, because these strategies have an ultimate objective at maximising </w:t>
      </w:r>
      <w:r w:rsidR="00DA444C">
        <w:lastRenderedPageBreak/>
        <w:t>shareholder wealth, the sustainability objectives do not necessarily receive the emphasis that they deserve. The strategies are summarised in Annex 1.</w:t>
      </w:r>
    </w:p>
    <w:p w:rsidR="00DA444C" w:rsidRDefault="00DA444C" w:rsidP="00DA444C">
      <w:pPr>
        <w:pStyle w:val="Heading3"/>
      </w:pPr>
      <w:bookmarkStart w:id="11" w:name="_Toc426376588"/>
      <w:r>
        <w:t>Support for sustainability</w:t>
      </w:r>
      <w:bookmarkEnd w:id="11"/>
    </w:p>
    <w:p w:rsidR="00BF001E" w:rsidRDefault="00BF001E" w:rsidP="00DA444C">
      <w:r>
        <w:t>All four</w:t>
      </w:r>
      <w:r w:rsidR="00DA444C">
        <w:t xml:space="preserve"> company web sites provide</w:t>
      </w:r>
      <w:r>
        <w:t xml:space="preserve"> a considerable amount of </w:t>
      </w:r>
      <w:r w:rsidR="00DA444C">
        <w:t xml:space="preserve">information on </w:t>
      </w:r>
      <w:r>
        <w:t>sustainability, including background information, how to carry out different tasks, product information and in some cases information on training. The web pages of the four companies are as follows.</w:t>
      </w:r>
    </w:p>
    <w:p w:rsidR="00BF001E" w:rsidRDefault="00BF001E" w:rsidP="00BF001E">
      <w:pPr>
        <w:pStyle w:val="Heading4"/>
      </w:pPr>
      <w:r>
        <w:t>Travis Perkins</w:t>
      </w:r>
    </w:p>
    <w:p w:rsidR="00BF001E" w:rsidRDefault="002E01BD" w:rsidP="00BF001E">
      <w:hyperlink r:id="rId17" w:history="1">
        <w:r w:rsidR="00BF001E" w:rsidRPr="00BF001E">
          <w:rPr>
            <w:rStyle w:val="Hyperlink"/>
          </w:rPr>
          <w:t>The Sustainable Building Solutions</w:t>
        </w:r>
      </w:hyperlink>
      <w:r w:rsidR="00BF001E">
        <w:t xml:space="preserve"> pages provide information on:</w:t>
      </w:r>
    </w:p>
    <w:p w:rsidR="00174D97" w:rsidRDefault="002E01BD" w:rsidP="00BA54DC">
      <w:pPr>
        <w:pStyle w:val="ListParagraph"/>
        <w:numPr>
          <w:ilvl w:val="0"/>
          <w:numId w:val="23"/>
        </w:numPr>
      </w:pPr>
      <w:hyperlink r:id="rId18" w:history="1">
        <w:r w:rsidR="00174D97">
          <w:rPr>
            <w:rStyle w:val="Hyperlink"/>
          </w:rPr>
          <w:t>New build</w:t>
        </w:r>
      </w:hyperlink>
    </w:p>
    <w:p w:rsidR="00174D97" w:rsidRDefault="002E01BD" w:rsidP="00BA54DC">
      <w:pPr>
        <w:pStyle w:val="ListParagraph"/>
        <w:numPr>
          <w:ilvl w:val="0"/>
          <w:numId w:val="23"/>
        </w:numPr>
      </w:pPr>
      <w:hyperlink r:id="rId19" w:history="1">
        <w:r w:rsidR="00174D97">
          <w:rPr>
            <w:rStyle w:val="Hyperlink"/>
          </w:rPr>
          <w:t>Retrofit</w:t>
        </w:r>
      </w:hyperlink>
    </w:p>
    <w:p w:rsidR="00174D97" w:rsidRDefault="002E01BD" w:rsidP="00BA54DC">
      <w:pPr>
        <w:pStyle w:val="ListParagraph"/>
        <w:numPr>
          <w:ilvl w:val="0"/>
          <w:numId w:val="23"/>
        </w:numPr>
      </w:pPr>
      <w:hyperlink r:id="rId20" w:history="1">
        <w:r w:rsidR="00174D97">
          <w:rPr>
            <w:rStyle w:val="Hyperlink"/>
          </w:rPr>
          <w:t>Green Deal</w:t>
        </w:r>
      </w:hyperlink>
    </w:p>
    <w:p w:rsidR="00174D97" w:rsidRDefault="002E01BD" w:rsidP="00BA54DC">
      <w:pPr>
        <w:pStyle w:val="ListParagraph"/>
        <w:numPr>
          <w:ilvl w:val="0"/>
          <w:numId w:val="23"/>
        </w:numPr>
      </w:pPr>
      <w:hyperlink r:id="rId21" w:history="1">
        <w:r w:rsidR="00174D97">
          <w:rPr>
            <w:rStyle w:val="Hyperlink"/>
          </w:rPr>
          <w:t>Products</w:t>
        </w:r>
      </w:hyperlink>
    </w:p>
    <w:p w:rsidR="00174D97" w:rsidRDefault="002E01BD" w:rsidP="00BA54DC">
      <w:pPr>
        <w:pStyle w:val="ListParagraph"/>
        <w:numPr>
          <w:ilvl w:val="0"/>
          <w:numId w:val="23"/>
        </w:numPr>
      </w:pPr>
      <w:hyperlink r:id="rId22" w:history="1">
        <w:r w:rsidR="00174D97">
          <w:rPr>
            <w:rStyle w:val="Hyperlink"/>
          </w:rPr>
          <w:t>Training</w:t>
        </w:r>
      </w:hyperlink>
    </w:p>
    <w:p w:rsidR="00174D97" w:rsidRDefault="002E01BD" w:rsidP="00BA54DC">
      <w:pPr>
        <w:pStyle w:val="ListParagraph"/>
        <w:numPr>
          <w:ilvl w:val="0"/>
          <w:numId w:val="23"/>
        </w:numPr>
      </w:pPr>
      <w:hyperlink r:id="rId23" w:history="1">
        <w:r w:rsidR="00174D97">
          <w:rPr>
            <w:rStyle w:val="Hyperlink"/>
          </w:rPr>
          <w:t>Services</w:t>
        </w:r>
      </w:hyperlink>
    </w:p>
    <w:p w:rsidR="00174D97" w:rsidRDefault="002E01BD" w:rsidP="00BA54DC">
      <w:pPr>
        <w:pStyle w:val="ListParagraph"/>
        <w:numPr>
          <w:ilvl w:val="0"/>
          <w:numId w:val="23"/>
        </w:numPr>
      </w:pPr>
      <w:hyperlink r:id="rId24" w:history="1">
        <w:r w:rsidR="00174D97">
          <w:rPr>
            <w:rStyle w:val="Hyperlink"/>
          </w:rPr>
          <w:t>Resources</w:t>
        </w:r>
      </w:hyperlink>
    </w:p>
    <w:p w:rsidR="00174D97" w:rsidRDefault="002E01BD" w:rsidP="00BA54DC">
      <w:pPr>
        <w:pStyle w:val="ListParagraph"/>
        <w:numPr>
          <w:ilvl w:val="0"/>
          <w:numId w:val="23"/>
        </w:numPr>
      </w:pPr>
      <w:hyperlink r:id="rId25" w:history="1">
        <w:r w:rsidR="00174D97">
          <w:rPr>
            <w:rStyle w:val="Hyperlink"/>
          </w:rPr>
          <w:t>Contacts</w:t>
        </w:r>
      </w:hyperlink>
    </w:p>
    <w:p w:rsidR="00BF001E" w:rsidRDefault="00BF001E" w:rsidP="00BF001E">
      <w:pPr>
        <w:pStyle w:val="Heading4"/>
      </w:pPr>
      <w:r>
        <w:t>Saint-Gobain</w:t>
      </w:r>
    </w:p>
    <w:p w:rsidR="00BF001E" w:rsidRDefault="002E01BD" w:rsidP="00BF001E">
      <w:hyperlink r:id="rId26" w:history="1">
        <w:r w:rsidR="00BF001E" w:rsidRPr="00174D97">
          <w:rPr>
            <w:rStyle w:val="Hyperlink"/>
          </w:rPr>
          <w:t>The Saint-Gobain in the UK</w:t>
        </w:r>
      </w:hyperlink>
      <w:r w:rsidR="00BF001E">
        <w:t xml:space="preserve"> web pages provide information in the following page groups:</w:t>
      </w:r>
    </w:p>
    <w:p w:rsidR="00174D97" w:rsidRDefault="002E01BD" w:rsidP="00BA54DC">
      <w:pPr>
        <w:numPr>
          <w:ilvl w:val="0"/>
          <w:numId w:val="24"/>
        </w:numPr>
        <w:spacing w:before="100" w:beforeAutospacing="1" w:after="100" w:afterAutospacing="1" w:line="240" w:lineRule="auto"/>
      </w:pPr>
      <w:hyperlink r:id="rId27" w:history="1">
        <w:r w:rsidR="00174D97">
          <w:rPr>
            <w:rStyle w:val="Hyperlink"/>
          </w:rPr>
          <w:t>Products &amp; Solutions</w:t>
        </w:r>
      </w:hyperlink>
      <w:r w:rsidR="00174D97">
        <w:t xml:space="preserve"> </w:t>
      </w:r>
    </w:p>
    <w:p w:rsidR="00174D97" w:rsidRDefault="002E01BD" w:rsidP="00BA54DC">
      <w:pPr>
        <w:numPr>
          <w:ilvl w:val="0"/>
          <w:numId w:val="24"/>
        </w:numPr>
        <w:spacing w:before="100" w:beforeAutospacing="1" w:after="100" w:afterAutospacing="1" w:line="240" w:lineRule="auto"/>
      </w:pPr>
      <w:hyperlink r:id="rId28" w:history="1">
        <w:r w:rsidR="00174D97">
          <w:rPr>
            <w:rStyle w:val="Hyperlink"/>
          </w:rPr>
          <w:t>Innovation Centre</w:t>
        </w:r>
      </w:hyperlink>
      <w:r w:rsidR="00174D97">
        <w:t xml:space="preserve"> </w:t>
      </w:r>
    </w:p>
    <w:p w:rsidR="00174D97" w:rsidRDefault="002E01BD" w:rsidP="00BA54DC">
      <w:pPr>
        <w:numPr>
          <w:ilvl w:val="0"/>
          <w:numId w:val="24"/>
        </w:numPr>
        <w:spacing w:before="100" w:beforeAutospacing="1" w:after="100" w:afterAutospacing="1" w:line="240" w:lineRule="auto"/>
      </w:pPr>
      <w:hyperlink r:id="rId29" w:history="1">
        <w:r w:rsidR="00174D97">
          <w:rPr>
            <w:rStyle w:val="Hyperlink"/>
          </w:rPr>
          <w:t>Training</w:t>
        </w:r>
      </w:hyperlink>
      <w:r w:rsidR="00174D97">
        <w:t xml:space="preserve"> </w:t>
      </w:r>
    </w:p>
    <w:p w:rsidR="00174D97" w:rsidRDefault="002E01BD" w:rsidP="00BA54DC">
      <w:pPr>
        <w:numPr>
          <w:ilvl w:val="0"/>
          <w:numId w:val="24"/>
        </w:numPr>
        <w:spacing w:before="100" w:beforeAutospacing="1" w:after="100" w:afterAutospacing="1" w:line="240" w:lineRule="auto"/>
      </w:pPr>
      <w:hyperlink r:id="rId30" w:history="1">
        <w:r w:rsidR="00174D97">
          <w:rPr>
            <w:rStyle w:val="Hyperlink"/>
          </w:rPr>
          <w:t>Info &amp; Contacts</w:t>
        </w:r>
      </w:hyperlink>
    </w:p>
    <w:p w:rsidR="00174D97" w:rsidRDefault="00174D97" w:rsidP="00174D97">
      <w:pPr>
        <w:pStyle w:val="Heading4"/>
      </w:pPr>
      <w:r>
        <w:t xml:space="preserve">Grafton </w:t>
      </w:r>
      <w:proofErr w:type="spellStart"/>
      <w:r>
        <w:t>Merchanting</w:t>
      </w:r>
      <w:proofErr w:type="spellEnd"/>
      <w:r>
        <w:t xml:space="preserve"> GB</w:t>
      </w:r>
    </w:p>
    <w:p w:rsidR="00E37E76" w:rsidRDefault="00E37E76" w:rsidP="00E37E76">
      <w:r>
        <w:t xml:space="preserve">The </w:t>
      </w:r>
      <w:hyperlink r:id="rId31" w:history="1">
        <w:r w:rsidRPr="00E37E76">
          <w:rPr>
            <w:rStyle w:val="Hyperlink"/>
          </w:rPr>
          <w:t>Go Green at Grafton</w:t>
        </w:r>
      </w:hyperlink>
      <w:r>
        <w:t xml:space="preserve"> web pages provide information relating to a range of sustainable solutions in around properties.</w:t>
      </w:r>
    </w:p>
    <w:p w:rsidR="00E37E76" w:rsidRDefault="00E37E76" w:rsidP="00E37E76">
      <w:pPr>
        <w:pStyle w:val="Heading4"/>
      </w:pPr>
      <w:r>
        <w:t>B &amp; Q</w:t>
      </w:r>
    </w:p>
    <w:p w:rsidR="00E37E76" w:rsidRDefault="00E37E76" w:rsidP="00E37E76">
      <w:r>
        <w:t xml:space="preserve">The </w:t>
      </w:r>
      <w:hyperlink r:id="rId32" w:history="1">
        <w:r w:rsidRPr="001F46BC">
          <w:rPr>
            <w:rStyle w:val="Hyperlink"/>
          </w:rPr>
          <w:t>One Planet Home</w:t>
        </w:r>
      </w:hyperlink>
      <w:r>
        <w:t xml:space="preserve"> pages provide information on a broad range of subjects including pages on lifestyle choices and gardening</w:t>
      </w:r>
      <w:r w:rsidR="001F46BC">
        <w:t xml:space="preserve">. The </w:t>
      </w:r>
      <w:hyperlink r:id="rId33" w:history="1">
        <w:r w:rsidR="001F46BC" w:rsidRPr="001F46BC">
          <w:rPr>
            <w:rStyle w:val="Hyperlink"/>
          </w:rPr>
          <w:t>Help &amp; Advice</w:t>
        </w:r>
      </w:hyperlink>
      <w:r w:rsidR="001F46BC">
        <w:t xml:space="preserve"> pages also provide information on products and how to install them, many of which include sustainable options. These pages are supplemented by the </w:t>
      </w:r>
      <w:hyperlink r:id="rId34" w:history="1">
        <w:r w:rsidR="001F46BC" w:rsidRPr="001F46BC">
          <w:rPr>
            <w:rStyle w:val="Hyperlink"/>
          </w:rPr>
          <w:t>Net Positive</w:t>
        </w:r>
      </w:hyperlink>
      <w:r w:rsidR="001F46BC">
        <w:t xml:space="preserve"> pages of the Kingfisher Group web site which provide contextual information on what the group is doing to achieve its sustainability objectives</w:t>
      </w:r>
      <w:r w:rsidR="006000F6">
        <w:t>.</w:t>
      </w:r>
    </w:p>
    <w:p w:rsidR="006000F6" w:rsidRDefault="006000F6" w:rsidP="006000F6">
      <w:pPr>
        <w:pStyle w:val="Heading2"/>
      </w:pPr>
      <w:bookmarkStart w:id="12" w:name="_Toc426376589"/>
      <w:r>
        <w:t>Local independent suppliers</w:t>
      </w:r>
      <w:r w:rsidR="00614F30">
        <w:t xml:space="preserve"> (SMEs)</w:t>
      </w:r>
      <w:bookmarkEnd w:id="12"/>
    </w:p>
    <w:p w:rsidR="003F3704" w:rsidRDefault="002A3AC4" w:rsidP="002A3AC4">
      <w:r>
        <w:t>In addition to the national groups there are a large number of independent small and medium enterprise suppliers within the sector. These range between sole trades such as hardware stores and builders merchants with several depots.</w:t>
      </w:r>
      <w:r w:rsidR="00614F30">
        <w:t xml:space="preserve"> At the top end of the range, such groups may have turnover of around £40 - £60 million and as many as 20 – 30 outlets (typically a branch will turnover around £2 million each year), but this compares with the financial resources of the national suppliers which have turnovers of up to several billion pounds. </w:t>
      </w:r>
      <w:r w:rsidR="00A615B5">
        <w:t xml:space="preserve">This means that the resources of SME suppliers as </w:t>
      </w:r>
      <w:r w:rsidR="00A615B5">
        <w:lastRenderedPageBreak/>
        <w:t xml:space="preserve">significantly less than those of the national suppliers and this has an effect on the degree of support that these organisations can give to the promotion of sustainability to their customers. </w:t>
      </w:r>
    </w:p>
    <w:p w:rsidR="002A3AC4" w:rsidRDefault="00A615B5" w:rsidP="002A3AC4">
      <w:r>
        <w:t xml:space="preserve">It should also be recognised that SMEs tend to be private limited companies, whereas the national suppliers are publically listed or are subsidiaries of publically listed groups. This means that the SMEs have less need to publically state their policies as part of the communication processes with their current and potential shareholders. Consequently, there is considerable disparity between the degree of emphasis on sustainability that different SME suppliers </w:t>
      </w:r>
      <w:r w:rsidR="003F3704">
        <w:t>display. In effect, much depends on the attitudes of a small number of shareholders and their advisers.</w:t>
      </w:r>
    </w:p>
    <w:p w:rsidR="003F3704" w:rsidRDefault="003F3704" w:rsidP="003F3704">
      <w:pPr>
        <w:pStyle w:val="Heading1"/>
      </w:pPr>
      <w:bookmarkStart w:id="13" w:name="_Toc426376590"/>
      <w:r>
        <w:t>Factors affecting attitudes to sustainability within the DIY and construction material and component supply sector in England.</w:t>
      </w:r>
      <w:bookmarkEnd w:id="13"/>
    </w:p>
    <w:p w:rsidR="003F3704" w:rsidRDefault="000E7729" w:rsidP="003F3704">
      <w:r>
        <w:t>In a competitive world, government regulation is probably the most influential factor in delivering sustainable outcomes within this sector</w:t>
      </w:r>
      <w:r w:rsidR="0034609F">
        <w:t xml:space="preserve">. The energy efficiency of new buildings is one area in which regulation has been most successful and each new building is required to undergo a Standard Assessment Procedure (SAP) to demonstrate its compliance with the relevant standard. Additionally </w:t>
      </w:r>
      <w:r w:rsidR="005843B7">
        <w:t>t</w:t>
      </w:r>
      <w:r w:rsidR="0034609F">
        <w:t>here is a requirement for all building to have a valid Energy Performance Certificate (EPC) when it is sold.</w:t>
      </w:r>
    </w:p>
    <w:p w:rsidR="005843B7" w:rsidRDefault="005843B7" w:rsidP="003F3704">
      <w:r>
        <w:t xml:space="preserve">The Government also offers potential savings in the installation of energy saving methods through the “Green Deal” in which approved assessors, installers and finance providers can </w:t>
      </w:r>
      <w:r w:rsidR="003D4793">
        <w:t>identify the need for and benefits of energy saving products, install the products and provide financial support including the identification of grants and feed in tariffs for home generated electricity.</w:t>
      </w:r>
      <w:r w:rsidR="00D67C40">
        <w:t xml:space="preserve"> </w:t>
      </w:r>
    </w:p>
    <w:p w:rsidR="00D67C40" w:rsidRDefault="00D67C40" w:rsidP="003F3704">
      <w:r>
        <w:t>The requirements on energy efficiency for new buildings and the support through the Green Deal for older buildings provide a stimulus for the sale of:</w:t>
      </w:r>
    </w:p>
    <w:p w:rsidR="00D67C40" w:rsidRPr="00D67C40" w:rsidRDefault="00D67C40" w:rsidP="00D67C40">
      <w:pPr>
        <w:pStyle w:val="ListParagraph"/>
        <w:numPr>
          <w:ilvl w:val="0"/>
          <w:numId w:val="26"/>
        </w:numPr>
        <w:rPr>
          <w:lang w:eastAsia="en-GB"/>
        </w:rPr>
      </w:pPr>
      <w:r w:rsidRPr="00D67C40">
        <w:rPr>
          <w:lang w:eastAsia="en-GB"/>
        </w:rPr>
        <w:t xml:space="preserve">insulation, </w:t>
      </w:r>
      <w:proofErr w:type="spellStart"/>
      <w:r w:rsidRPr="00D67C40">
        <w:rPr>
          <w:lang w:eastAsia="en-GB"/>
        </w:rPr>
        <w:t>eg</w:t>
      </w:r>
      <w:proofErr w:type="spellEnd"/>
      <w:r w:rsidRPr="00D67C40">
        <w:rPr>
          <w:lang w:eastAsia="en-GB"/>
        </w:rPr>
        <w:t xml:space="preserve"> solid wall, cavity wall or loft insulation</w:t>
      </w:r>
    </w:p>
    <w:p w:rsidR="00D67C40" w:rsidRPr="00D67C40" w:rsidRDefault="00D67C40" w:rsidP="00D67C40">
      <w:pPr>
        <w:pStyle w:val="ListParagraph"/>
        <w:numPr>
          <w:ilvl w:val="0"/>
          <w:numId w:val="26"/>
        </w:numPr>
        <w:rPr>
          <w:lang w:eastAsia="en-GB"/>
        </w:rPr>
      </w:pPr>
      <w:r>
        <w:rPr>
          <w:lang w:eastAsia="en-GB"/>
        </w:rPr>
        <w:t xml:space="preserve">efficient </w:t>
      </w:r>
      <w:r w:rsidRPr="00D67C40">
        <w:rPr>
          <w:lang w:eastAsia="en-GB"/>
        </w:rPr>
        <w:t>heating</w:t>
      </w:r>
    </w:p>
    <w:p w:rsidR="00D67C40" w:rsidRPr="00D67C40" w:rsidRDefault="00D67C40" w:rsidP="00D67C40">
      <w:pPr>
        <w:pStyle w:val="ListParagraph"/>
        <w:numPr>
          <w:ilvl w:val="0"/>
          <w:numId w:val="26"/>
        </w:numPr>
        <w:rPr>
          <w:lang w:eastAsia="en-GB"/>
        </w:rPr>
      </w:pPr>
      <w:r w:rsidRPr="00D67C40">
        <w:rPr>
          <w:lang w:eastAsia="en-GB"/>
        </w:rPr>
        <w:t>draught-proofing</w:t>
      </w:r>
    </w:p>
    <w:p w:rsidR="00D67C40" w:rsidRPr="00D67C40" w:rsidRDefault="00D67C40" w:rsidP="00D67C40">
      <w:pPr>
        <w:pStyle w:val="ListParagraph"/>
        <w:numPr>
          <w:ilvl w:val="0"/>
          <w:numId w:val="26"/>
        </w:numPr>
        <w:rPr>
          <w:lang w:eastAsia="en-GB"/>
        </w:rPr>
      </w:pPr>
      <w:r w:rsidRPr="00D67C40">
        <w:rPr>
          <w:lang w:eastAsia="en-GB"/>
        </w:rPr>
        <w:t>double glazing</w:t>
      </w:r>
    </w:p>
    <w:p w:rsidR="00D67C40" w:rsidRPr="00D67C40" w:rsidRDefault="00D67C40" w:rsidP="00D67C40">
      <w:pPr>
        <w:pStyle w:val="ListParagraph"/>
        <w:numPr>
          <w:ilvl w:val="0"/>
          <w:numId w:val="26"/>
        </w:numPr>
        <w:rPr>
          <w:lang w:eastAsia="en-GB"/>
        </w:rPr>
      </w:pPr>
      <w:r w:rsidRPr="00D67C40">
        <w:rPr>
          <w:lang w:eastAsia="en-GB"/>
        </w:rPr>
        <w:t xml:space="preserve">renewable energy generation, </w:t>
      </w:r>
      <w:proofErr w:type="spellStart"/>
      <w:r w:rsidRPr="00D67C40">
        <w:rPr>
          <w:lang w:eastAsia="en-GB"/>
        </w:rPr>
        <w:t>eg</w:t>
      </w:r>
      <w:proofErr w:type="spellEnd"/>
      <w:r w:rsidRPr="00D67C40">
        <w:rPr>
          <w:lang w:eastAsia="en-GB"/>
        </w:rPr>
        <w:t xml:space="preserve"> solar panels or heat pumps</w:t>
      </w:r>
    </w:p>
    <w:p w:rsidR="00D67C40" w:rsidRDefault="00D67C40" w:rsidP="003F3704">
      <w:r>
        <w:t xml:space="preserve">and there is a ready supply of products in these areas. However, with the exception of a high degree of availability </w:t>
      </w:r>
      <w:r w:rsidR="00E72C3C">
        <w:t>of sustainable timber products through the Forest Stewardship Council, there appears to be little concerted effort to promote sustainability to the public.</w:t>
      </w:r>
    </w:p>
    <w:p w:rsidR="00E72C3C" w:rsidRDefault="00E72C3C" w:rsidP="003F3704">
      <w:r>
        <w:t xml:space="preserve">This is understandable as there is a considerable degree of competition in the supply sector and also in the building sector, which serves to drive down the value of quotations to property owners, particularly in the post-crash economic environment. This means that sustainable materials, which may cost more than less sustainable </w:t>
      </w:r>
      <w:r w:rsidR="009E54A6">
        <w:t>materials, can be priced out of the market as purchasers shop around.</w:t>
      </w:r>
    </w:p>
    <w:p w:rsidR="009E54A6" w:rsidRDefault="009E54A6" w:rsidP="003F3704">
      <w:r>
        <w:t>Consequently, the attention given to sustainability on supplier web sites is not so evident in store</w:t>
      </w:r>
      <w:r w:rsidR="007B726F">
        <w:t>, even though products may meet in house sustainability standards</w:t>
      </w:r>
      <w:r>
        <w:t>.</w:t>
      </w:r>
    </w:p>
    <w:p w:rsidR="007B726F" w:rsidRDefault="007B726F" w:rsidP="007B726F">
      <w:pPr>
        <w:pStyle w:val="Heading1"/>
      </w:pPr>
      <w:bookmarkStart w:id="14" w:name="_Toc426376591"/>
      <w:r>
        <w:lastRenderedPageBreak/>
        <w:t>Impact on customers</w:t>
      </w:r>
      <w:bookmarkEnd w:id="14"/>
    </w:p>
    <w:p w:rsidR="009E54A6" w:rsidRPr="003F3704" w:rsidRDefault="007B726F" w:rsidP="003F3704">
      <w:r>
        <w:t xml:space="preserve">Although information on sustainable products is available on the web sites of the national suppliers and on some regional/local SME suppliers, </w:t>
      </w:r>
      <w:r w:rsidR="007450FC">
        <w:t xml:space="preserve">the competitive nature of the sector ensures that there is an emphasis on price on the product pages and in store. This means that the potential benefits of more sustainable products are not fully implanted in customers’ minds. </w:t>
      </w:r>
      <w:r w:rsidR="005B70B9">
        <w:t>Thus there is little positive promotion of sustainability. T</w:t>
      </w:r>
      <w:r w:rsidR="007450FC">
        <w:t>he exception</w:t>
      </w:r>
      <w:r w:rsidR="005B70B9">
        <w:t>s to this are</w:t>
      </w:r>
      <w:r w:rsidR="007450FC">
        <w:t xml:space="preserve"> energy efficiency where there is regulation and </w:t>
      </w:r>
      <w:r w:rsidR="005B70B9">
        <w:t>sustainable sourcing of timber</w:t>
      </w:r>
      <w:r w:rsidR="007450FC">
        <w:t xml:space="preserve">. Without some form of intervention it is unlikely that this will change as sales are dependent on price. Therefore, the promotion of sustainability needs to be </w:t>
      </w:r>
      <w:r w:rsidR="002B3377">
        <w:t>addressed</w:t>
      </w:r>
      <w:r w:rsidR="007450FC">
        <w:t xml:space="preserve"> in some other way. It cannot be left to the suppliers to do this themselves as it flies in the face of </w:t>
      </w:r>
      <w:r w:rsidR="0043308F">
        <w:t xml:space="preserve">survival in a </w:t>
      </w:r>
      <w:r w:rsidR="007450FC">
        <w:t>competiti</w:t>
      </w:r>
      <w:r w:rsidR="0043308F">
        <w:t xml:space="preserve">ve market. </w:t>
      </w:r>
    </w:p>
    <w:p w:rsidR="003F3704" w:rsidRDefault="003F3704" w:rsidP="002A3AC4"/>
    <w:p w:rsidR="003F3704" w:rsidRPr="002A3AC4" w:rsidRDefault="003F3704" w:rsidP="002A3AC4"/>
    <w:p w:rsidR="006000F6" w:rsidRPr="006000F6" w:rsidRDefault="006000F6" w:rsidP="006000F6"/>
    <w:p w:rsidR="00006B13" w:rsidRDefault="00006B13" w:rsidP="00BF001E">
      <w:r>
        <w:br w:type="page"/>
      </w:r>
    </w:p>
    <w:p w:rsidR="00067C1C" w:rsidRDefault="002B3377" w:rsidP="002B3377">
      <w:pPr>
        <w:pStyle w:val="Heading1"/>
        <w:jc w:val="center"/>
      </w:pPr>
      <w:bookmarkStart w:id="15" w:name="_Toc426376592"/>
      <w:r>
        <w:lastRenderedPageBreak/>
        <w:t>Appendix</w:t>
      </w:r>
      <w:r w:rsidR="00006B13">
        <w:t xml:space="preserve"> – National company strategies</w:t>
      </w:r>
      <w:bookmarkEnd w:id="15"/>
    </w:p>
    <w:p w:rsidR="00006B13" w:rsidRDefault="00006B13" w:rsidP="00006B13">
      <w:pPr>
        <w:pStyle w:val="Heading2"/>
      </w:pPr>
      <w:bookmarkStart w:id="16" w:name="_Toc426376593"/>
      <w:r>
        <w:t>Travis Perkins</w:t>
      </w:r>
      <w:bookmarkEnd w:id="16"/>
    </w:p>
    <w:p w:rsidR="003B526C" w:rsidRDefault="003B526C" w:rsidP="00731009">
      <w:pPr>
        <w:pStyle w:val="Heading3"/>
      </w:pPr>
      <w:bookmarkStart w:id="17" w:name="_Toc426376594"/>
      <w:r>
        <w:t>Levers of value creation</w:t>
      </w:r>
      <w:bookmarkEnd w:id="17"/>
    </w:p>
    <w:p w:rsidR="003B526C" w:rsidRPr="003B526C" w:rsidRDefault="003B526C" w:rsidP="003B526C">
      <w:pPr>
        <w:rPr>
          <w:lang w:eastAsia="en-GB"/>
        </w:rPr>
      </w:pPr>
      <w:r w:rsidRPr="003B526C">
        <w:rPr>
          <w:lang w:eastAsia="en-GB"/>
        </w:rPr>
        <w:t>Travis Perkins’ strategy is centred on four priorities:</w:t>
      </w:r>
    </w:p>
    <w:p w:rsidR="003B526C" w:rsidRPr="003B526C" w:rsidRDefault="003B526C" w:rsidP="00BA54DC">
      <w:pPr>
        <w:pStyle w:val="ListParagraph"/>
        <w:numPr>
          <w:ilvl w:val="0"/>
          <w:numId w:val="8"/>
        </w:numPr>
        <w:rPr>
          <w:lang w:eastAsia="en-GB"/>
        </w:rPr>
      </w:pPr>
      <w:r w:rsidRPr="003B526C">
        <w:rPr>
          <w:lang w:eastAsia="en-GB"/>
        </w:rPr>
        <w:t xml:space="preserve">Accelerate innovation of customer propositions </w:t>
      </w:r>
    </w:p>
    <w:p w:rsidR="003B526C" w:rsidRPr="003B526C" w:rsidRDefault="003B526C" w:rsidP="00BA54DC">
      <w:pPr>
        <w:pStyle w:val="ListParagraph"/>
        <w:numPr>
          <w:ilvl w:val="0"/>
          <w:numId w:val="8"/>
        </w:numPr>
        <w:rPr>
          <w:lang w:eastAsia="en-GB"/>
        </w:rPr>
      </w:pPr>
      <w:r w:rsidRPr="003B526C">
        <w:rPr>
          <w:lang w:eastAsia="en-GB"/>
        </w:rPr>
        <w:t xml:space="preserve">Expand network and intensify use of space </w:t>
      </w:r>
    </w:p>
    <w:p w:rsidR="003B526C" w:rsidRPr="003B526C" w:rsidRDefault="003B526C" w:rsidP="00BA54DC">
      <w:pPr>
        <w:pStyle w:val="ListParagraph"/>
        <w:numPr>
          <w:ilvl w:val="0"/>
          <w:numId w:val="8"/>
        </w:numPr>
        <w:rPr>
          <w:lang w:eastAsia="en-GB"/>
        </w:rPr>
      </w:pPr>
      <w:r w:rsidRPr="003B526C">
        <w:rPr>
          <w:lang w:eastAsia="en-GB"/>
        </w:rPr>
        <w:t xml:space="preserve">Exploit scale advantage </w:t>
      </w:r>
    </w:p>
    <w:p w:rsidR="003B526C" w:rsidRPr="003B526C" w:rsidRDefault="003B526C" w:rsidP="00BA54DC">
      <w:pPr>
        <w:pStyle w:val="ListParagraph"/>
        <w:numPr>
          <w:ilvl w:val="0"/>
          <w:numId w:val="8"/>
        </w:numPr>
        <w:rPr>
          <w:lang w:eastAsia="en-GB"/>
        </w:rPr>
      </w:pPr>
      <w:r w:rsidRPr="003B526C">
        <w:rPr>
          <w:lang w:eastAsia="en-GB"/>
        </w:rPr>
        <w:t xml:space="preserve">Prioritise investments throughout the portfolio </w:t>
      </w:r>
    </w:p>
    <w:p w:rsidR="003B526C" w:rsidRDefault="003B526C" w:rsidP="00731009">
      <w:pPr>
        <w:pStyle w:val="Heading4"/>
      </w:pPr>
      <w:r>
        <w:t>Customer innovation and optimising the branch and store network</w:t>
      </w:r>
    </w:p>
    <w:p w:rsidR="003B526C" w:rsidRDefault="003B526C" w:rsidP="003B526C">
      <w:r>
        <w:t>The underpinning activities to improving the customer proposition and improve the network including offering better value, extending range, better availability, format renewal, modernising TP branches and creating national networks in a number of the Group’s businesses are included in the plans for each of the divisions in the following sections.</w:t>
      </w:r>
    </w:p>
    <w:p w:rsidR="003B526C" w:rsidRDefault="003B526C" w:rsidP="00731009">
      <w:pPr>
        <w:pStyle w:val="Heading4"/>
      </w:pPr>
      <w:r>
        <w:t>Scale Advantage</w:t>
      </w:r>
    </w:p>
    <w:p w:rsidR="003B526C" w:rsidRDefault="003B526C" w:rsidP="003B526C">
      <w:r>
        <w:t>One of the key value creation levers is using the Group’s scale to improve efficiency and deliver a better customer proposition.</w:t>
      </w:r>
    </w:p>
    <w:p w:rsidR="003B526C" w:rsidRDefault="003B526C" w:rsidP="003B526C">
      <w:r>
        <w:t>The Group’s supply chain ambition is to provide branches and customers with easy access to the broadest range of products, reliably, efficiently, safely and on time:</w:t>
      </w:r>
    </w:p>
    <w:p w:rsidR="003B526C" w:rsidRDefault="003B526C" w:rsidP="00BA54DC">
      <w:pPr>
        <w:pStyle w:val="ListParagraph"/>
        <w:numPr>
          <w:ilvl w:val="0"/>
          <w:numId w:val="9"/>
        </w:numPr>
        <w:spacing w:before="100" w:beforeAutospacing="1" w:after="100" w:afterAutospacing="1" w:line="240" w:lineRule="auto"/>
      </w:pPr>
      <w:r>
        <w:t>Ordering will be made simpler for branches with improved range management tools and automated stock replenishment systems;</w:t>
      </w:r>
    </w:p>
    <w:p w:rsidR="003B526C" w:rsidRDefault="003B526C" w:rsidP="00BA54DC">
      <w:pPr>
        <w:pStyle w:val="ListParagraph"/>
        <w:numPr>
          <w:ilvl w:val="0"/>
          <w:numId w:val="9"/>
        </w:numPr>
        <w:spacing w:before="100" w:beforeAutospacing="1" w:after="100" w:afterAutospacing="1" w:line="240" w:lineRule="auto"/>
      </w:pPr>
      <w:r>
        <w:t xml:space="preserve">The Group’s distribution centre (“DC”) footprint will undergo further change, increasing </w:t>
      </w:r>
      <w:proofErr w:type="spellStart"/>
      <w:r>
        <w:t>lightside</w:t>
      </w:r>
      <w:proofErr w:type="spellEnd"/>
      <w:r>
        <w:t xml:space="preserve"> DC capacity and rolling out regional </w:t>
      </w:r>
      <w:proofErr w:type="spellStart"/>
      <w:r>
        <w:t>heavyside</w:t>
      </w:r>
      <w:proofErr w:type="spellEnd"/>
      <w:r>
        <w:t xml:space="preserve"> </w:t>
      </w:r>
      <w:proofErr w:type="spellStart"/>
      <w:r>
        <w:t>DCs</w:t>
      </w:r>
      <w:proofErr w:type="spellEnd"/>
      <w:r>
        <w:t>;</w:t>
      </w:r>
    </w:p>
    <w:p w:rsidR="003B526C" w:rsidRDefault="003B526C" w:rsidP="00BA54DC">
      <w:pPr>
        <w:pStyle w:val="ListParagraph"/>
        <w:numPr>
          <w:ilvl w:val="0"/>
          <w:numId w:val="9"/>
        </w:numPr>
        <w:spacing w:before="100" w:beforeAutospacing="1" w:after="100" w:afterAutospacing="1" w:line="240" w:lineRule="auto"/>
      </w:pPr>
      <w:r>
        <w:t>Route planning tools and further optimisation of the vehicle fleet will reduce the cost of, and enhance, the local delivery proposition.</w:t>
      </w:r>
    </w:p>
    <w:p w:rsidR="003B526C" w:rsidRDefault="003B526C" w:rsidP="003B526C">
      <w:r>
        <w:t>The strength of the Group’s balance sheet enables businesses within the Group to access properties they would otherwise find it difficult to occupy. Furthermore, by developing multi-fascia sites, the Group is able to provide opportunities for the Group’s smaller operating businesses to co-locate with the Group’s larger businesses and benefit from greater foot traffic.</w:t>
      </w:r>
    </w:p>
    <w:p w:rsidR="003B526C" w:rsidRDefault="003B526C" w:rsidP="003B526C">
      <w:r>
        <w:t>The Group is also focused on using its buying scale to source products directly from manufacturers at lower cost and in creating more commonality in product ranges such that it can further consolidate volumes so reducing costs further.</w:t>
      </w:r>
    </w:p>
    <w:p w:rsidR="003B526C" w:rsidRDefault="003B526C" w:rsidP="003B526C">
      <w:r>
        <w:t>For many years, the Group has benefited from efficient, low-cost IT systems. These systems are approaching the end of their useful life and, therefore, a clear four point strategy has been developed to ensure better IT systems capacity and flexibility in the future.</w:t>
      </w:r>
    </w:p>
    <w:p w:rsidR="003B526C" w:rsidRDefault="003B526C" w:rsidP="00BA54DC">
      <w:pPr>
        <w:pStyle w:val="ListParagraph"/>
        <w:numPr>
          <w:ilvl w:val="0"/>
          <w:numId w:val="10"/>
        </w:numPr>
        <w:spacing w:before="100" w:beforeAutospacing="1" w:after="100" w:afterAutospacing="1" w:line="240" w:lineRule="auto"/>
      </w:pPr>
      <w:r>
        <w:t xml:space="preserve">Delivering a common and shared trading platform across the Group’s </w:t>
      </w:r>
      <w:proofErr w:type="spellStart"/>
      <w:r>
        <w:t>merchanting</w:t>
      </w:r>
      <w:proofErr w:type="spellEnd"/>
      <w:r>
        <w:t xml:space="preserve"> businesses;</w:t>
      </w:r>
    </w:p>
    <w:p w:rsidR="003B526C" w:rsidRDefault="003B526C" w:rsidP="00BA54DC">
      <w:pPr>
        <w:pStyle w:val="ListParagraph"/>
        <w:numPr>
          <w:ilvl w:val="0"/>
          <w:numId w:val="10"/>
        </w:numPr>
        <w:spacing w:before="100" w:beforeAutospacing="1" w:after="100" w:afterAutospacing="1" w:line="240" w:lineRule="auto"/>
      </w:pPr>
      <w:r>
        <w:t>Delivering an appropriate multi-channel presence for each brand making it easier for customers to order, buy and receive delivery;</w:t>
      </w:r>
    </w:p>
    <w:p w:rsidR="003B526C" w:rsidRDefault="003B526C" w:rsidP="00BA54DC">
      <w:pPr>
        <w:pStyle w:val="ListParagraph"/>
        <w:numPr>
          <w:ilvl w:val="0"/>
          <w:numId w:val="10"/>
        </w:numPr>
        <w:spacing w:before="100" w:beforeAutospacing="1" w:after="100" w:afterAutospacing="1" w:line="240" w:lineRule="auto"/>
      </w:pPr>
      <w:r>
        <w:lastRenderedPageBreak/>
        <w:t>Simplifying back office systems to enable decoupling and enhance efficiency;</w:t>
      </w:r>
    </w:p>
    <w:p w:rsidR="003B526C" w:rsidRDefault="003B526C" w:rsidP="00BA54DC">
      <w:pPr>
        <w:pStyle w:val="ListParagraph"/>
        <w:numPr>
          <w:ilvl w:val="0"/>
          <w:numId w:val="10"/>
        </w:numPr>
        <w:spacing w:before="100" w:beforeAutospacing="1" w:after="100" w:afterAutospacing="1" w:line="240" w:lineRule="auto"/>
      </w:pPr>
      <w:r>
        <w:t xml:space="preserve">Increasing system usability and the experience for colleagues and customers so that the Group is easier to do business with. </w:t>
      </w:r>
    </w:p>
    <w:p w:rsidR="003B526C" w:rsidRDefault="003B526C" w:rsidP="00731009">
      <w:pPr>
        <w:pStyle w:val="Heading4"/>
      </w:pPr>
      <w:r>
        <w:t>Portfolio management</w:t>
      </w:r>
    </w:p>
    <w:p w:rsidR="003B526C" w:rsidRDefault="003B526C" w:rsidP="003B526C">
      <w:r>
        <w:t xml:space="preserve">Starting with the Group’s revised approach to managing its portfolio of businesses, the Group has developed a more robust planning approach enabling it to allocate capital to the opportunities which are expected to deliver the most material value for shareholders. Aligned with this approach to managing capital allocation is a revision to the metrics upon which the Group is managed. Future lease-adjusted return on capital will become an increasingly important measure of success as the Group believes it best aligns investment decisions with the ultimate goal of shareholders; their return on equity. </w:t>
      </w:r>
    </w:p>
    <w:p w:rsidR="003B526C" w:rsidRDefault="003B526C" w:rsidP="003B526C">
      <w:r>
        <w:t xml:space="preserve">In order to improve lease adjusted return on capital management responsibility for both earnings and capital employed will be devolved further down through the business. This greater accountability and autonomy will be managed and monitored through improved processes for governance. As management in each of the businesses take more control for managing returns, central functions will be streamlined to ensure all teams are closer to the businesses they support and ultimately customers. This revised approach to capital allocation is creating more competition for capital. </w:t>
      </w:r>
    </w:p>
    <w:p w:rsidR="003B526C" w:rsidRDefault="003B526C" w:rsidP="003B526C">
      <w:r>
        <w:t xml:space="preserve">Capital expenditure is expected to increase in the medium term to take advantage of development opportunities in the market and will be tiered based upon the risk and return profiles of the various investment opportunities identified. The </w:t>
      </w:r>
      <w:proofErr w:type="spellStart"/>
      <w:r>
        <w:t>tiering</w:t>
      </w:r>
      <w:proofErr w:type="spellEnd"/>
      <w:r>
        <w:t xml:space="preserve"> of capital spend will be managed under four broad headings:</w:t>
      </w:r>
    </w:p>
    <w:p w:rsidR="003B526C" w:rsidRDefault="003B526C" w:rsidP="00BA54DC">
      <w:pPr>
        <w:pStyle w:val="ListParagraph"/>
        <w:numPr>
          <w:ilvl w:val="0"/>
          <w:numId w:val="11"/>
        </w:numPr>
        <w:spacing w:before="100" w:beforeAutospacing="1" w:after="100" w:afterAutospacing="1" w:line="240" w:lineRule="auto"/>
      </w:pPr>
      <w:r>
        <w:rPr>
          <w:rStyle w:val="Emphasis"/>
        </w:rPr>
        <w:t>Extending the Group’s leadership</w:t>
      </w:r>
      <w:r>
        <w:t>: investment in proven businesses and opportunities delivering attractive returns.</w:t>
      </w:r>
    </w:p>
    <w:p w:rsidR="003B526C" w:rsidRDefault="003B526C" w:rsidP="00BA54DC">
      <w:pPr>
        <w:pStyle w:val="ListParagraph"/>
        <w:numPr>
          <w:ilvl w:val="0"/>
          <w:numId w:val="11"/>
        </w:numPr>
        <w:spacing w:before="100" w:beforeAutospacing="1" w:after="100" w:afterAutospacing="1" w:line="240" w:lineRule="auto"/>
      </w:pPr>
      <w:r>
        <w:rPr>
          <w:rStyle w:val="Emphasis"/>
        </w:rPr>
        <w:t>Investing to grow</w:t>
      </w:r>
      <w:r>
        <w:t>: investment in customer propositions to adapt to changing customer needs and cement the Group’s market leading positions.</w:t>
      </w:r>
    </w:p>
    <w:p w:rsidR="003B526C" w:rsidRDefault="003B526C" w:rsidP="00BA54DC">
      <w:pPr>
        <w:pStyle w:val="ListParagraph"/>
        <w:numPr>
          <w:ilvl w:val="0"/>
          <w:numId w:val="11"/>
        </w:numPr>
        <w:spacing w:before="100" w:beforeAutospacing="1" w:after="100" w:afterAutospacing="1" w:line="240" w:lineRule="auto"/>
      </w:pPr>
      <w:r>
        <w:rPr>
          <w:rStyle w:val="Emphasis"/>
        </w:rPr>
        <w:t>Infrastructure investment</w:t>
      </w:r>
      <w:r>
        <w:t>: investment to enable future outperformance.</w:t>
      </w:r>
    </w:p>
    <w:p w:rsidR="003B526C" w:rsidRDefault="003B526C" w:rsidP="00BA54DC">
      <w:pPr>
        <w:pStyle w:val="ListParagraph"/>
        <w:numPr>
          <w:ilvl w:val="0"/>
          <w:numId w:val="11"/>
        </w:numPr>
        <w:spacing w:before="100" w:beforeAutospacing="1" w:after="100" w:afterAutospacing="1" w:line="240" w:lineRule="auto"/>
      </w:pPr>
      <w:r>
        <w:rPr>
          <w:rStyle w:val="Emphasis"/>
        </w:rPr>
        <w:t>Divest</w:t>
      </w:r>
      <w:r>
        <w:t>: where there are better uses for capital to grow or return to shareholders.</w:t>
      </w:r>
    </w:p>
    <w:p w:rsidR="00731009" w:rsidRDefault="00731009" w:rsidP="00731009">
      <w:pPr>
        <w:pStyle w:val="Heading3"/>
      </w:pPr>
      <w:bookmarkStart w:id="18" w:name="_Toc426376595"/>
      <w:r>
        <w:t>Divisional strategy</w:t>
      </w:r>
      <w:bookmarkEnd w:id="18"/>
      <w:r>
        <w:t xml:space="preserve"> </w:t>
      </w:r>
    </w:p>
    <w:p w:rsidR="00731009" w:rsidRDefault="00731009" w:rsidP="00731009">
      <w:pPr>
        <w:pStyle w:val="Heading4"/>
      </w:pPr>
      <w:r>
        <w:t xml:space="preserve">General </w:t>
      </w:r>
      <w:proofErr w:type="spellStart"/>
      <w:r>
        <w:t>Merchanting</w:t>
      </w:r>
      <w:proofErr w:type="spellEnd"/>
      <w:r>
        <w:t xml:space="preserve"> Division Strategy</w:t>
      </w:r>
    </w:p>
    <w:p w:rsidR="00731009" w:rsidRDefault="00731009" w:rsidP="00731009">
      <w:r>
        <w:t>Travis Perkins is, and for the foreseeable future will continue to be, the Group’s core business. It is the Group’s largest business by sales, profitability and one of the highest returning businesses operated within the Group.</w:t>
      </w:r>
    </w:p>
    <w:p w:rsidR="00731009" w:rsidRPr="00731009" w:rsidRDefault="00731009" w:rsidP="00731009">
      <w:pPr>
        <w:rPr>
          <w:lang w:eastAsia="en-GB"/>
        </w:rPr>
      </w:pPr>
      <w:r w:rsidRPr="00731009">
        <w:rPr>
          <w:lang w:eastAsia="en-GB"/>
        </w:rPr>
        <w:t xml:space="preserve">There is significant scope for network expansion and relocation. Travis Perkins is targeting 5-15 net new branches per annum and to increase the number of </w:t>
      </w:r>
      <w:proofErr w:type="spellStart"/>
      <w:r w:rsidRPr="00731009">
        <w:rPr>
          <w:lang w:eastAsia="en-GB"/>
        </w:rPr>
        <w:t>Benchmarx</w:t>
      </w:r>
      <w:proofErr w:type="spellEnd"/>
      <w:r w:rsidRPr="00731009">
        <w:rPr>
          <w:lang w:eastAsia="en-GB"/>
        </w:rPr>
        <w:t xml:space="preserve"> Kitchens and </w:t>
      </w:r>
      <w:proofErr w:type="spellStart"/>
      <w:r w:rsidRPr="00731009">
        <w:rPr>
          <w:lang w:eastAsia="en-GB"/>
        </w:rPr>
        <w:t>Toolhire</w:t>
      </w:r>
      <w:proofErr w:type="spellEnd"/>
      <w:r w:rsidRPr="00731009">
        <w:rPr>
          <w:lang w:eastAsia="en-GB"/>
        </w:rPr>
        <w:t xml:space="preserve"> equipment implants. Furthermore the Group recognises the need to modernise the branch network with plans underway to develop a new branch format, ‘TP 2018’, alongside further development of TP’s multi-channel proposition.</w:t>
      </w:r>
    </w:p>
    <w:p w:rsidR="00731009" w:rsidRPr="00731009" w:rsidRDefault="00731009" w:rsidP="00731009">
      <w:pPr>
        <w:rPr>
          <w:lang w:eastAsia="en-GB"/>
        </w:rPr>
      </w:pPr>
      <w:r w:rsidRPr="00731009">
        <w:rPr>
          <w:lang w:eastAsia="en-GB"/>
        </w:rPr>
        <w:t>The plans to improve the TP multi-channel offer are set out below:</w:t>
      </w:r>
    </w:p>
    <w:tbl>
      <w:tblPr>
        <w:tblW w:w="5000" w:type="pct"/>
        <w:tblCellSpacing w:w="0" w:type="dxa"/>
        <w:tblBorders>
          <w:insideH w:val="single" w:sz="4" w:space="0" w:color="auto"/>
        </w:tblBorders>
        <w:tblCellMar>
          <w:left w:w="0" w:type="dxa"/>
          <w:right w:w="0" w:type="dxa"/>
        </w:tblCellMar>
        <w:tblLook w:val="04A0" w:firstRow="1" w:lastRow="0" w:firstColumn="1" w:lastColumn="0" w:noHBand="0" w:noVBand="1"/>
      </w:tblPr>
      <w:tblGrid>
        <w:gridCol w:w="1805"/>
        <w:gridCol w:w="2708"/>
        <w:gridCol w:w="4513"/>
      </w:tblGrid>
      <w:tr w:rsidR="00731009" w:rsidRPr="00731009" w:rsidTr="00731009">
        <w:trPr>
          <w:tblHeader/>
          <w:tblCellSpacing w:w="0" w:type="dxa"/>
        </w:trPr>
        <w:tc>
          <w:tcPr>
            <w:tcW w:w="1000" w:type="pct"/>
            <w:vAlign w:val="center"/>
            <w:hideMark/>
          </w:tcPr>
          <w:p w:rsidR="00731009" w:rsidRPr="00731009" w:rsidRDefault="00731009" w:rsidP="00731009">
            <w:pPr>
              <w:pStyle w:val="NoSpacing"/>
              <w:rPr>
                <w:lang w:eastAsia="en-GB"/>
              </w:rPr>
            </w:pPr>
          </w:p>
        </w:tc>
        <w:tc>
          <w:tcPr>
            <w:tcW w:w="1500" w:type="pct"/>
            <w:vAlign w:val="center"/>
            <w:hideMark/>
          </w:tcPr>
          <w:p w:rsidR="00731009" w:rsidRPr="00731009" w:rsidRDefault="00731009" w:rsidP="00731009">
            <w:pPr>
              <w:pStyle w:val="NoSpacing"/>
              <w:rPr>
                <w:b/>
                <w:lang w:eastAsia="en-GB"/>
              </w:rPr>
            </w:pPr>
            <w:r w:rsidRPr="00731009">
              <w:rPr>
                <w:b/>
                <w:lang w:eastAsia="en-GB"/>
              </w:rPr>
              <w:t>Customer experience</w:t>
            </w:r>
          </w:p>
        </w:tc>
        <w:tc>
          <w:tcPr>
            <w:tcW w:w="2500" w:type="pct"/>
            <w:vAlign w:val="center"/>
            <w:hideMark/>
          </w:tcPr>
          <w:p w:rsidR="00731009" w:rsidRPr="00731009" w:rsidRDefault="00731009" w:rsidP="00731009">
            <w:pPr>
              <w:pStyle w:val="NoSpacing"/>
              <w:rPr>
                <w:b/>
                <w:lang w:eastAsia="en-GB"/>
              </w:rPr>
            </w:pPr>
            <w:r w:rsidRPr="00731009">
              <w:rPr>
                <w:b/>
                <w:lang w:eastAsia="en-GB"/>
              </w:rPr>
              <w:t>Infrastructure</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1. Where we are now </w:t>
            </w:r>
          </w:p>
        </w:tc>
        <w:tc>
          <w:tcPr>
            <w:tcW w:w="0" w:type="auto"/>
            <w:vAlign w:val="center"/>
            <w:hideMark/>
          </w:tcPr>
          <w:p w:rsidR="00731009" w:rsidRPr="00731009" w:rsidRDefault="00731009" w:rsidP="00BA54DC">
            <w:pPr>
              <w:pStyle w:val="NoSpacing"/>
              <w:numPr>
                <w:ilvl w:val="0"/>
                <w:numId w:val="12"/>
              </w:numPr>
              <w:rPr>
                <w:lang w:eastAsia="en-GB"/>
              </w:rPr>
            </w:pPr>
            <w:r w:rsidRPr="00731009">
              <w:rPr>
                <w:lang w:eastAsia="en-GB"/>
              </w:rPr>
              <w:t xml:space="preserve">Clean and functional </w:t>
            </w:r>
          </w:p>
          <w:p w:rsidR="00731009" w:rsidRPr="00731009" w:rsidRDefault="00731009" w:rsidP="00BA54DC">
            <w:pPr>
              <w:pStyle w:val="NoSpacing"/>
              <w:numPr>
                <w:ilvl w:val="0"/>
                <w:numId w:val="12"/>
              </w:numPr>
              <w:rPr>
                <w:lang w:eastAsia="en-GB"/>
              </w:rPr>
            </w:pPr>
            <w:r w:rsidRPr="00731009">
              <w:rPr>
                <w:lang w:eastAsia="en-GB"/>
              </w:rPr>
              <w:t xml:space="preserve">Passive </w:t>
            </w:r>
          </w:p>
          <w:p w:rsidR="00731009" w:rsidRPr="00731009" w:rsidRDefault="00731009" w:rsidP="00BA54DC">
            <w:pPr>
              <w:pStyle w:val="NoSpacing"/>
              <w:numPr>
                <w:ilvl w:val="0"/>
                <w:numId w:val="12"/>
              </w:numPr>
              <w:rPr>
                <w:lang w:eastAsia="en-GB"/>
              </w:rPr>
            </w:pPr>
            <w:r w:rsidRPr="00731009">
              <w:rPr>
                <w:lang w:eastAsia="en-GB"/>
              </w:rPr>
              <w:t xml:space="preserve">Non-transactional </w:t>
            </w:r>
          </w:p>
        </w:tc>
        <w:tc>
          <w:tcPr>
            <w:tcW w:w="0" w:type="auto"/>
            <w:vAlign w:val="center"/>
            <w:hideMark/>
          </w:tcPr>
          <w:p w:rsidR="00731009" w:rsidRPr="00731009" w:rsidRDefault="00731009" w:rsidP="00BA54DC">
            <w:pPr>
              <w:pStyle w:val="NoSpacing"/>
              <w:numPr>
                <w:ilvl w:val="0"/>
                <w:numId w:val="12"/>
              </w:numPr>
              <w:rPr>
                <w:lang w:eastAsia="en-GB"/>
              </w:rPr>
            </w:pPr>
            <w:r w:rsidRPr="00731009">
              <w:rPr>
                <w:lang w:eastAsia="en-GB"/>
              </w:rPr>
              <w:t xml:space="preserve">Branch to site delivery for </w:t>
            </w:r>
            <w:proofErr w:type="spellStart"/>
            <w:r w:rsidRPr="00731009">
              <w:rPr>
                <w:lang w:eastAsia="en-GB"/>
              </w:rPr>
              <w:t>heavyside</w:t>
            </w:r>
            <w:proofErr w:type="spellEnd"/>
            <w:r w:rsidRPr="00731009">
              <w:rPr>
                <w:lang w:eastAsia="en-GB"/>
              </w:rPr>
              <w:t xml:space="preserve"> </w:t>
            </w:r>
          </w:p>
          <w:p w:rsidR="00731009" w:rsidRPr="00731009" w:rsidRDefault="00731009" w:rsidP="00BA54DC">
            <w:pPr>
              <w:pStyle w:val="NoSpacing"/>
              <w:numPr>
                <w:ilvl w:val="0"/>
                <w:numId w:val="12"/>
              </w:numPr>
              <w:rPr>
                <w:lang w:eastAsia="en-GB"/>
              </w:rPr>
            </w:pPr>
            <w:r w:rsidRPr="00731009">
              <w:rPr>
                <w:lang w:eastAsia="en-GB"/>
              </w:rPr>
              <w:t xml:space="preserve">Branch collection only for </w:t>
            </w:r>
            <w:proofErr w:type="spellStart"/>
            <w:r w:rsidRPr="00731009">
              <w:rPr>
                <w:lang w:eastAsia="en-GB"/>
              </w:rPr>
              <w:t>lightside</w:t>
            </w:r>
            <w:proofErr w:type="spellEnd"/>
            <w:r w:rsidRPr="00731009">
              <w:rPr>
                <w:lang w:eastAsia="en-GB"/>
              </w:rPr>
              <w:t xml:space="preserve"> </w:t>
            </w:r>
          </w:p>
          <w:p w:rsidR="00731009" w:rsidRPr="00731009" w:rsidRDefault="00731009" w:rsidP="00BA54DC">
            <w:pPr>
              <w:pStyle w:val="NoSpacing"/>
              <w:numPr>
                <w:ilvl w:val="0"/>
                <w:numId w:val="12"/>
              </w:numPr>
              <w:rPr>
                <w:lang w:eastAsia="en-GB"/>
              </w:rPr>
            </w:pPr>
            <w:r w:rsidRPr="00731009">
              <w:rPr>
                <w:lang w:eastAsia="en-GB"/>
              </w:rPr>
              <w:t xml:space="preserve">Branch acting as call centre </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2. Next steps </w:t>
            </w:r>
          </w:p>
        </w:tc>
        <w:tc>
          <w:tcPr>
            <w:tcW w:w="0" w:type="auto"/>
            <w:vAlign w:val="center"/>
            <w:hideMark/>
          </w:tcPr>
          <w:p w:rsidR="00731009" w:rsidRPr="00731009" w:rsidRDefault="00731009" w:rsidP="00BA54DC">
            <w:pPr>
              <w:pStyle w:val="NoSpacing"/>
              <w:numPr>
                <w:ilvl w:val="0"/>
                <w:numId w:val="12"/>
              </w:numPr>
              <w:rPr>
                <w:lang w:eastAsia="en-GB"/>
              </w:rPr>
            </w:pPr>
            <w:r w:rsidRPr="00731009">
              <w:rPr>
                <w:lang w:eastAsia="en-GB"/>
              </w:rPr>
              <w:t xml:space="preserve">Transactional capability </w:t>
            </w:r>
          </w:p>
          <w:p w:rsidR="00731009" w:rsidRPr="00731009" w:rsidRDefault="00731009" w:rsidP="00BA54DC">
            <w:pPr>
              <w:pStyle w:val="NoSpacing"/>
              <w:numPr>
                <w:ilvl w:val="0"/>
                <w:numId w:val="12"/>
              </w:numPr>
              <w:rPr>
                <w:lang w:eastAsia="en-GB"/>
              </w:rPr>
            </w:pPr>
            <w:r w:rsidRPr="00731009">
              <w:rPr>
                <w:lang w:eastAsia="en-GB"/>
              </w:rPr>
              <w:t xml:space="preserve">Integration to pricing systems </w:t>
            </w:r>
          </w:p>
          <w:p w:rsidR="00731009" w:rsidRPr="00731009" w:rsidRDefault="00731009" w:rsidP="00BA54DC">
            <w:pPr>
              <w:pStyle w:val="NoSpacing"/>
              <w:numPr>
                <w:ilvl w:val="0"/>
                <w:numId w:val="12"/>
              </w:numPr>
              <w:rPr>
                <w:lang w:eastAsia="en-GB"/>
              </w:rPr>
            </w:pPr>
            <w:r w:rsidRPr="00731009">
              <w:rPr>
                <w:lang w:eastAsia="en-GB"/>
              </w:rPr>
              <w:t xml:space="preserve">Account management </w:t>
            </w:r>
          </w:p>
          <w:p w:rsidR="00731009" w:rsidRPr="00731009" w:rsidRDefault="00731009" w:rsidP="00BA54DC">
            <w:pPr>
              <w:pStyle w:val="NoSpacing"/>
              <w:numPr>
                <w:ilvl w:val="0"/>
                <w:numId w:val="12"/>
              </w:numPr>
              <w:rPr>
                <w:lang w:eastAsia="en-GB"/>
              </w:rPr>
            </w:pPr>
            <w:r w:rsidRPr="00731009">
              <w:rPr>
                <w:lang w:eastAsia="en-GB"/>
              </w:rPr>
              <w:t xml:space="preserve">Click &amp; collect </w:t>
            </w:r>
          </w:p>
        </w:tc>
        <w:tc>
          <w:tcPr>
            <w:tcW w:w="0" w:type="auto"/>
            <w:vAlign w:val="center"/>
            <w:hideMark/>
          </w:tcPr>
          <w:p w:rsidR="00731009" w:rsidRPr="00731009" w:rsidRDefault="00731009" w:rsidP="00BA54DC">
            <w:pPr>
              <w:pStyle w:val="NoSpacing"/>
              <w:numPr>
                <w:ilvl w:val="0"/>
                <w:numId w:val="12"/>
              </w:numPr>
              <w:rPr>
                <w:lang w:eastAsia="en-GB"/>
              </w:rPr>
            </w:pPr>
            <w:proofErr w:type="spellStart"/>
            <w:r w:rsidRPr="00731009">
              <w:rPr>
                <w:lang w:eastAsia="en-GB"/>
              </w:rPr>
              <w:t>Heavyside</w:t>
            </w:r>
            <w:proofErr w:type="spellEnd"/>
            <w:r w:rsidRPr="00731009">
              <w:rPr>
                <w:lang w:eastAsia="en-GB"/>
              </w:rPr>
              <w:t xml:space="preserve"> distribution improvements expanding range and availability </w:t>
            </w:r>
          </w:p>
          <w:p w:rsidR="00731009" w:rsidRPr="00731009" w:rsidRDefault="00731009" w:rsidP="00BA54DC">
            <w:pPr>
              <w:pStyle w:val="NoSpacing"/>
              <w:numPr>
                <w:ilvl w:val="0"/>
                <w:numId w:val="12"/>
              </w:numPr>
              <w:rPr>
                <w:lang w:eastAsia="en-GB"/>
              </w:rPr>
            </w:pPr>
            <w:proofErr w:type="spellStart"/>
            <w:r w:rsidRPr="00731009">
              <w:rPr>
                <w:lang w:eastAsia="en-GB"/>
              </w:rPr>
              <w:t>Lightside</w:t>
            </w:r>
            <w:proofErr w:type="spellEnd"/>
            <w:r w:rsidRPr="00731009">
              <w:rPr>
                <w:lang w:eastAsia="en-GB"/>
              </w:rPr>
              <w:t xml:space="preserve"> range access from DCs </w:t>
            </w:r>
          </w:p>
          <w:p w:rsidR="00731009" w:rsidRPr="00731009" w:rsidRDefault="00731009" w:rsidP="00BA54DC">
            <w:pPr>
              <w:pStyle w:val="NoSpacing"/>
              <w:numPr>
                <w:ilvl w:val="0"/>
                <w:numId w:val="12"/>
              </w:numPr>
              <w:rPr>
                <w:lang w:eastAsia="en-GB"/>
              </w:rPr>
            </w:pPr>
            <w:r w:rsidRPr="00731009">
              <w:rPr>
                <w:lang w:eastAsia="en-GB"/>
              </w:rPr>
              <w:t xml:space="preserve">DC direct to site picking </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3. Where we will get to </w:t>
            </w:r>
          </w:p>
        </w:tc>
        <w:tc>
          <w:tcPr>
            <w:tcW w:w="0" w:type="auto"/>
            <w:vAlign w:val="center"/>
            <w:hideMark/>
          </w:tcPr>
          <w:p w:rsidR="00731009" w:rsidRPr="00731009" w:rsidRDefault="00731009" w:rsidP="00BA54DC">
            <w:pPr>
              <w:pStyle w:val="NoSpacing"/>
              <w:numPr>
                <w:ilvl w:val="0"/>
                <w:numId w:val="12"/>
              </w:numPr>
              <w:rPr>
                <w:lang w:eastAsia="en-GB"/>
              </w:rPr>
            </w:pPr>
            <w:r w:rsidRPr="00731009">
              <w:rPr>
                <w:lang w:eastAsia="en-GB"/>
              </w:rPr>
              <w:t xml:space="preserve">Leading online gateway </w:t>
            </w:r>
          </w:p>
          <w:p w:rsidR="00731009" w:rsidRPr="00731009" w:rsidRDefault="00731009" w:rsidP="00BA54DC">
            <w:pPr>
              <w:pStyle w:val="NoSpacing"/>
              <w:numPr>
                <w:ilvl w:val="0"/>
                <w:numId w:val="12"/>
              </w:numPr>
              <w:rPr>
                <w:lang w:eastAsia="en-GB"/>
              </w:rPr>
            </w:pPr>
            <w:r w:rsidRPr="00731009">
              <w:rPr>
                <w:lang w:eastAsia="en-GB"/>
              </w:rPr>
              <w:t xml:space="preserve">Interactive and social hub </w:t>
            </w:r>
          </w:p>
          <w:p w:rsidR="00731009" w:rsidRPr="00731009" w:rsidRDefault="00731009" w:rsidP="00BA54DC">
            <w:pPr>
              <w:pStyle w:val="NoSpacing"/>
              <w:numPr>
                <w:ilvl w:val="0"/>
                <w:numId w:val="12"/>
              </w:numPr>
              <w:rPr>
                <w:lang w:eastAsia="en-GB"/>
              </w:rPr>
            </w:pPr>
            <w:r w:rsidRPr="00731009">
              <w:rPr>
                <w:lang w:eastAsia="en-GB"/>
              </w:rPr>
              <w:t xml:space="preserve">Seamless experience across channels </w:t>
            </w:r>
          </w:p>
          <w:p w:rsidR="00731009" w:rsidRPr="00731009" w:rsidRDefault="00731009" w:rsidP="00BA54DC">
            <w:pPr>
              <w:pStyle w:val="NoSpacing"/>
              <w:numPr>
                <w:ilvl w:val="0"/>
                <w:numId w:val="12"/>
              </w:numPr>
              <w:rPr>
                <w:lang w:eastAsia="en-GB"/>
              </w:rPr>
            </w:pPr>
            <w:r w:rsidRPr="00731009">
              <w:rPr>
                <w:lang w:eastAsia="en-GB"/>
              </w:rPr>
              <w:t xml:space="preserve">Integrated CRM </w:t>
            </w:r>
          </w:p>
        </w:tc>
        <w:tc>
          <w:tcPr>
            <w:tcW w:w="0" w:type="auto"/>
            <w:vAlign w:val="center"/>
            <w:hideMark/>
          </w:tcPr>
          <w:p w:rsidR="00731009" w:rsidRPr="00731009" w:rsidRDefault="00731009" w:rsidP="00BA54DC">
            <w:pPr>
              <w:pStyle w:val="NoSpacing"/>
              <w:numPr>
                <w:ilvl w:val="0"/>
                <w:numId w:val="12"/>
              </w:numPr>
              <w:rPr>
                <w:lang w:eastAsia="en-GB"/>
              </w:rPr>
            </w:pPr>
            <w:r w:rsidRPr="00731009">
              <w:rPr>
                <w:lang w:eastAsia="en-GB"/>
              </w:rPr>
              <w:t xml:space="preserve">Cross-channel fulfilment for </w:t>
            </w:r>
            <w:proofErr w:type="spellStart"/>
            <w:r w:rsidRPr="00731009">
              <w:rPr>
                <w:lang w:eastAsia="en-GB"/>
              </w:rPr>
              <w:t>lightside</w:t>
            </w:r>
            <w:proofErr w:type="spellEnd"/>
            <w:r w:rsidRPr="00731009">
              <w:rPr>
                <w:lang w:eastAsia="en-GB"/>
              </w:rPr>
              <w:t xml:space="preserve"> </w:t>
            </w:r>
          </w:p>
          <w:p w:rsidR="00731009" w:rsidRPr="00731009" w:rsidRDefault="00731009" w:rsidP="00BA54DC">
            <w:pPr>
              <w:pStyle w:val="NoSpacing"/>
              <w:numPr>
                <w:ilvl w:val="0"/>
                <w:numId w:val="12"/>
              </w:numPr>
              <w:rPr>
                <w:lang w:eastAsia="en-GB"/>
              </w:rPr>
            </w:pPr>
            <w:r w:rsidRPr="00731009">
              <w:rPr>
                <w:lang w:eastAsia="en-GB"/>
              </w:rPr>
              <w:t xml:space="preserve">CRM and account management systems development </w:t>
            </w:r>
          </w:p>
          <w:p w:rsidR="00731009" w:rsidRPr="00731009" w:rsidRDefault="00731009" w:rsidP="00BA54DC">
            <w:pPr>
              <w:pStyle w:val="NoSpacing"/>
              <w:numPr>
                <w:ilvl w:val="0"/>
                <w:numId w:val="12"/>
              </w:numPr>
              <w:rPr>
                <w:lang w:eastAsia="en-GB"/>
              </w:rPr>
            </w:pPr>
            <w:r w:rsidRPr="00731009">
              <w:rPr>
                <w:lang w:eastAsia="en-GB"/>
              </w:rPr>
              <w:t xml:space="preserve">Contact centre coordination </w:t>
            </w:r>
          </w:p>
        </w:tc>
      </w:tr>
    </w:tbl>
    <w:p w:rsidR="00731009" w:rsidRDefault="00731009" w:rsidP="00731009"/>
    <w:p w:rsidR="003B526C" w:rsidRDefault="00731009" w:rsidP="003B526C">
      <w:r>
        <w:t>In summary, the Group is confident that Travis Perkins can maintain its market leading position and further drive improvements to the customer proposition and value to shareholders. The targets for improvement are set out as follows:</w:t>
      </w:r>
    </w:p>
    <w:tbl>
      <w:tblPr>
        <w:tblW w:w="5000" w:type="pct"/>
        <w:tblCellSpacing w:w="0" w:type="dxa"/>
        <w:tblBorders>
          <w:insideH w:val="single" w:sz="4" w:space="0" w:color="auto"/>
        </w:tblBorders>
        <w:tblCellMar>
          <w:left w:w="0" w:type="dxa"/>
          <w:right w:w="0" w:type="dxa"/>
        </w:tblCellMar>
        <w:tblLook w:val="04A0" w:firstRow="1" w:lastRow="0" w:firstColumn="1" w:lastColumn="0" w:noHBand="0" w:noVBand="1"/>
      </w:tblPr>
      <w:tblGrid>
        <w:gridCol w:w="4429"/>
        <w:gridCol w:w="1734"/>
        <w:gridCol w:w="2863"/>
      </w:tblGrid>
      <w:tr w:rsidR="00731009" w:rsidRPr="00731009" w:rsidTr="00DD7A1A">
        <w:trPr>
          <w:tblHeader/>
          <w:tblCellSpacing w:w="0" w:type="dxa"/>
        </w:trPr>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Measure</w:t>
            </w:r>
          </w:p>
        </w:tc>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Current</w:t>
            </w:r>
          </w:p>
        </w:tc>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Medium term ambition</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 xml:space="preserve">Network expansion </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645 TP branches</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5-15 net new branches p.a.</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Like-for-like sales growth outperformance </w:t>
            </w:r>
          </w:p>
        </w:tc>
        <w:tc>
          <w:tcPr>
            <w:tcW w:w="0" w:type="auto"/>
            <w:vAlign w:val="center"/>
            <w:hideMark/>
          </w:tcPr>
          <w:p w:rsidR="00731009" w:rsidRPr="00731009" w:rsidRDefault="00731009" w:rsidP="00731009">
            <w:pPr>
              <w:pStyle w:val="NoSpacing"/>
              <w:rPr>
                <w:lang w:eastAsia="en-GB"/>
              </w:rPr>
            </w:pPr>
            <w:r w:rsidRPr="00731009">
              <w:rPr>
                <w:lang w:eastAsia="en-GB"/>
              </w:rPr>
              <w:t>0-5%</w:t>
            </w:r>
          </w:p>
        </w:tc>
        <w:tc>
          <w:tcPr>
            <w:tcW w:w="0" w:type="auto"/>
            <w:vAlign w:val="center"/>
            <w:hideMark/>
          </w:tcPr>
          <w:p w:rsidR="00731009" w:rsidRPr="00731009" w:rsidRDefault="00731009" w:rsidP="00731009">
            <w:pPr>
              <w:pStyle w:val="NoSpacing"/>
              <w:rPr>
                <w:lang w:eastAsia="en-GB"/>
              </w:rPr>
            </w:pPr>
            <w:r w:rsidRPr="00731009">
              <w:rPr>
                <w:lang w:eastAsia="en-GB"/>
              </w:rPr>
              <w:t>1-4%</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Operating margin improvement prospects </w:t>
            </w:r>
          </w:p>
        </w:tc>
        <w:tc>
          <w:tcPr>
            <w:tcW w:w="0" w:type="auto"/>
            <w:vAlign w:val="center"/>
            <w:hideMark/>
          </w:tcPr>
          <w:p w:rsidR="00731009" w:rsidRPr="00731009" w:rsidRDefault="00731009" w:rsidP="00731009">
            <w:pPr>
              <w:pStyle w:val="NoSpacing"/>
              <w:rPr>
                <w:lang w:eastAsia="en-GB"/>
              </w:rPr>
            </w:pPr>
            <w:r w:rsidRPr="00731009">
              <w:rPr>
                <w:lang w:eastAsia="en-GB"/>
              </w:rPr>
              <w:t>Sector leading</w:t>
            </w:r>
          </w:p>
        </w:tc>
        <w:tc>
          <w:tcPr>
            <w:tcW w:w="0" w:type="auto"/>
            <w:vAlign w:val="center"/>
            <w:hideMark/>
          </w:tcPr>
          <w:p w:rsidR="00731009" w:rsidRPr="00731009" w:rsidRDefault="00731009" w:rsidP="00731009">
            <w:pPr>
              <w:pStyle w:val="NoSpacing"/>
              <w:rPr>
                <w:lang w:eastAsia="en-GB"/>
              </w:rPr>
            </w:pPr>
            <w:r w:rsidRPr="00731009">
              <w:rPr>
                <w:lang w:eastAsia="en-GB"/>
              </w:rPr>
              <w:t>Sustain</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Capital expenditure </w:t>
            </w:r>
          </w:p>
        </w:tc>
        <w:tc>
          <w:tcPr>
            <w:tcW w:w="0" w:type="auto"/>
            <w:vAlign w:val="center"/>
            <w:hideMark/>
          </w:tcPr>
          <w:p w:rsidR="00731009" w:rsidRPr="00731009" w:rsidRDefault="00731009" w:rsidP="00731009">
            <w:pPr>
              <w:pStyle w:val="NoSpacing"/>
              <w:rPr>
                <w:lang w:eastAsia="en-GB"/>
              </w:rPr>
            </w:pPr>
            <w:r w:rsidRPr="00731009">
              <w:rPr>
                <w:lang w:eastAsia="en-GB"/>
              </w:rPr>
              <w:t>£44m*</w:t>
            </w:r>
          </w:p>
        </w:tc>
        <w:tc>
          <w:tcPr>
            <w:tcW w:w="0" w:type="auto"/>
            <w:vAlign w:val="center"/>
            <w:hideMark/>
          </w:tcPr>
          <w:p w:rsidR="00731009" w:rsidRPr="00731009" w:rsidRDefault="00731009" w:rsidP="00731009">
            <w:pPr>
              <w:pStyle w:val="NoSpacing"/>
              <w:rPr>
                <w:lang w:eastAsia="en-GB"/>
              </w:rPr>
            </w:pPr>
            <w:r w:rsidRPr="00731009">
              <w:rPr>
                <w:lang w:eastAsia="en-GB"/>
              </w:rPr>
              <w:t>£40-60m p.a.</w:t>
            </w:r>
          </w:p>
        </w:tc>
      </w:tr>
      <w:tr w:rsidR="00731009" w:rsidRPr="00731009" w:rsidTr="00731009">
        <w:trPr>
          <w:tblCellSpacing w:w="0" w:type="dxa"/>
        </w:trPr>
        <w:tc>
          <w:tcPr>
            <w:tcW w:w="0" w:type="auto"/>
            <w:vAlign w:val="center"/>
            <w:hideMark/>
          </w:tcPr>
          <w:p w:rsidR="00731009" w:rsidRPr="00731009" w:rsidRDefault="00731009" w:rsidP="00731009">
            <w:pPr>
              <w:pStyle w:val="NoSpacing"/>
              <w:rPr>
                <w:lang w:eastAsia="en-GB"/>
              </w:rPr>
            </w:pPr>
            <w:r w:rsidRPr="00731009">
              <w:rPr>
                <w:lang w:eastAsia="en-GB"/>
              </w:rPr>
              <w:t xml:space="preserve">Lease adjusted ROCE </w:t>
            </w:r>
          </w:p>
        </w:tc>
        <w:tc>
          <w:tcPr>
            <w:tcW w:w="0" w:type="auto"/>
            <w:vAlign w:val="center"/>
            <w:hideMark/>
          </w:tcPr>
          <w:p w:rsidR="00731009" w:rsidRPr="00731009" w:rsidRDefault="00731009" w:rsidP="00731009">
            <w:pPr>
              <w:pStyle w:val="NoSpacing"/>
              <w:rPr>
                <w:lang w:eastAsia="en-GB"/>
              </w:rPr>
            </w:pPr>
            <w:r w:rsidRPr="00731009">
              <w:rPr>
                <w:lang w:eastAsia="en-GB"/>
              </w:rPr>
              <w:t>-</w:t>
            </w:r>
          </w:p>
        </w:tc>
        <w:tc>
          <w:tcPr>
            <w:tcW w:w="0" w:type="auto"/>
            <w:vAlign w:val="center"/>
            <w:hideMark/>
          </w:tcPr>
          <w:p w:rsidR="00731009" w:rsidRPr="00731009" w:rsidRDefault="00731009" w:rsidP="00731009">
            <w:pPr>
              <w:pStyle w:val="NoSpacing"/>
              <w:rPr>
                <w:lang w:eastAsia="en-GB"/>
              </w:rPr>
            </w:pPr>
            <w:r w:rsidRPr="00731009">
              <w:rPr>
                <w:lang w:eastAsia="en-GB"/>
              </w:rPr>
              <w:t>Add 200-300bps</w:t>
            </w:r>
          </w:p>
        </w:tc>
      </w:tr>
    </w:tbl>
    <w:p w:rsidR="00731009" w:rsidRDefault="00731009" w:rsidP="00731009">
      <w:pPr>
        <w:pStyle w:val="NoSpacing"/>
      </w:pPr>
    </w:p>
    <w:p w:rsidR="00731009" w:rsidRPr="00731009" w:rsidRDefault="00731009" w:rsidP="00731009">
      <w:pPr>
        <w:rPr>
          <w:lang w:eastAsia="en-GB"/>
        </w:rPr>
      </w:pPr>
      <w:r w:rsidRPr="00731009">
        <w:rPr>
          <w:lang w:eastAsia="en-GB"/>
        </w:rPr>
        <w:t>*Year ended 31 December 2013</w:t>
      </w:r>
    </w:p>
    <w:p w:rsidR="00731009" w:rsidRPr="00731009" w:rsidRDefault="00731009" w:rsidP="00731009">
      <w:pPr>
        <w:rPr>
          <w:lang w:eastAsia="en-GB"/>
        </w:rPr>
      </w:pPr>
      <w:r w:rsidRPr="00731009">
        <w:rPr>
          <w:lang w:eastAsia="en-GB"/>
        </w:rPr>
        <w:t xml:space="preserve">Outperformance through: </w:t>
      </w:r>
    </w:p>
    <w:p w:rsidR="00731009" w:rsidRPr="00731009" w:rsidRDefault="00731009" w:rsidP="00BA54DC">
      <w:pPr>
        <w:pStyle w:val="ListParagraph"/>
        <w:numPr>
          <w:ilvl w:val="0"/>
          <w:numId w:val="13"/>
        </w:numPr>
        <w:rPr>
          <w:lang w:eastAsia="en-GB"/>
        </w:rPr>
      </w:pPr>
      <w:r w:rsidRPr="00731009">
        <w:rPr>
          <w:lang w:eastAsia="en-GB"/>
        </w:rPr>
        <w:t xml:space="preserve">Local customer relationships </w:t>
      </w:r>
    </w:p>
    <w:p w:rsidR="00731009" w:rsidRPr="00731009" w:rsidRDefault="00731009" w:rsidP="00BA54DC">
      <w:pPr>
        <w:pStyle w:val="ListParagraph"/>
        <w:numPr>
          <w:ilvl w:val="0"/>
          <w:numId w:val="13"/>
        </w:numPr>
        <w:rPr>
          <w:lang w:eastAsia="en-GB"/>
        </w:rPr>
      </w:pPr>
      <w:r w:rsidRPr="00731009">
        <w:rPr>
          <w:lang w:eastAsia="en-GB"/>
        </w:rPr>
        <w:t xml:space="preserve">Consistent range and range extension </w:t>
      </w:r>
    </w:p>
    <w:p w:rsidR="00731009" w:rsidRPr="00731009" w:rsidRDefault="00731009" w:rsidP="00BA54DC">
      <w:pPr>
        <w:pStyle w:val="ListParagraph"/>
        <w:numPr>
          <w:ilvl w:val="0"/>
          <w:numId w:val="13"/>
        </w:numPr>
        <w:rPr>
          <w:lang w:eastAsia="en-GB"/>
        </w:rPr>
      </w:pPr>
      <w:r w:rsidRPr="00731009">
        <w:rPr>
          <w:lang w:eastAsia="en-GB"/>
        </w:rPr>
        <w:t xml:space="preserve">Better availability </w:t>
      </w:r>
    </w:p>
    <w:p w:rsidR="00731009" w:rsidRPr="00731009" w:rsidRDefault="00731009" w:rsidP="00BA54DC">
      <w:pPr>
        <w:pStyle w:val="ListParagraph"/>
        <w:numPr>
          <w:ilvl w:val="0"/>
          <w:numId w:val="13"/>
        </w:numPr>
        <w:rPr>
          <w:lang w:eastAsia="en-GB"/>
        </w:rPr>
      </w:pPr>
      <w:r w:rsidRPr="00731009">
        <w:rPr>
          <w:lang w:eastAsia="en-GB"/>
        </w:rPr>
        <w:t xml:space="preserve">Sourcing and own label development </w:t>
      </w:r>
    </w:p>
    <w:p w:rsidR="00731009" w:rsidRPr="00731009" w:rsidRDefault="00731009" w:rsidP="00BA54DC">
      <w:pPr>
        <w:pStyle w:val="ListParagraph"/>
        <w:numPr>
          <w:ilvl w:val="0"/>
          <w:numId w:val="13"/>
        </w:numPr>
        <w:rPr>
          <w:lang w:eastAsia="en-GB"/>
        </w:rPr>
      </w:pPr>
      <w:r w:rsidRPr="00731009">
        <w:rPr>
          <w:lang w:eastAsia="en-GB"/>
        </w:rPr>
        <w:t xml:space="preserve">Product knowledge and ease of transactions </w:t>
      </w:r>
    </w:p>
    <w:p w:rsidR="00731009" w:rsidRPr="00731009" w:rsidRDefault="00731009" w:rsidP="00BA54DC">
      <w:pPr>
        <w:pStyle w:val="ListParagraph"/>
        <w:numPr>
          <w:ilvl w:val="0"/>
          <w:numId w:val="13"/>
        </w:numPr>
        <w:rPr>
          <w:lang w:eastAsia="en-GB"/>
        </w:rPr>
      </w:pPr>
      <w:r w:rsidRPr="00731009">
        <w:rPr>
          <w:lang w:eastAsia="en-GB"/>
        </w:rPr>
        <w:t xml:space="preserve">Format improvements </w:t>
      </w:r>
    </w:p>
    <w:p w:rsidR="00731009" w:rsidRPr="00731009" w:rsidRDefault="00731009" w:rsidP="00BA54DC">
      <w:pPr>
        <w:pStyle w:val="ListParagraph"/>
        <w:numPr>
          <w:ilvl w:val="0"/>
          <w:numId w:val="13"/>
        </w:numPr>
        <w:rPr>
          <w:lang w:eastAsia="en-GB"/>
        </w:rPr>
      </w:pPr>
      <w:r w:rsidRPr="00731009">
        <w:rPr>
          <w:lang w:eastAsia="en-GB"/>
        </w:rPr>
        <w:t xml:space="preserve">Network and multi-channel development </w:t>
      </w:r>
    </w:p>
    <w:p w:rsidR="00731009" w:rsidRPr="00731009" w:rsidRDefault="00731009" w:rsidP="00BA54DC">
      <w:pPr>
        <w:pStyle w:val="ListParagraph"/>
        <w:numPr>
          <w:ilvl w:val="0"/>
          <w:numId w:val="13"/>
        </w:numPr>
        <w:rPr>
          <w:lang w:eastAsia="en-GB"/>
        </w:rPr>
      </w:pPr>
      <w:r w:rsidRPr="00731009">
        <w:rPr>
          <w:lang w:eastAsia="en-GB"/>
        </w:rPr>
        <w:t xml:space="preserve">Managed services expansion </w:t>
      </w:r>
    </w:p>
    <w:p w:rsidR="00731009" w:rsidRDefault="00731009" w:rsidP="00731009">
      <w:pPr>
        <w:pStyle w:val="Heading4"/>
      </w:pPr>
      <w:r>
        <w:t>Plumbing and Heating Division Strategy</w:t>
      </w:r>
    </w:p>
    <w:p w:rsidR="00731009" w:rsidRDefault="00731009" w:rsidP="00731009">
      <w:r>
        <w:t>The strategy for the Plumbing and Heating division has three key elements:</w:t>
      </w:r>
    </w:p>
    <w:p w:rsidR="00731009" w:rsidRDefault="00731009" w:rsidP="00BA54DC">
      <w:pPr>
        <w:pStyle w:val="ListParagraph"/>
        <w:numPr>
          <w:ilvl w:val="0"/>
          <w:numId w:val="14"/>
        </w:numPr>
      </w:pPr>
      <w:r>
        <w:t>Developing clear propositions serving plumbing and heating, bathroom installer and contract customers: The focus on bathroom installers, local plumbers and mid-sized plumbing contractors will provide solid returns through effective pricing and range substitution including through greater penetration of the Group’s ‘</w:t>
      </w:r>
      <w:proofErr w:type="spellStart"/>
      <w:r>
        <w:t>iflo</w:t>
      </w:r>
      <w:proofErr w:type="spellEnd"/>
      <w:r>
        <w:t xml:space="preserve">’ exclusive ranges. </w:t>
      </w:r>
    </w:p>
    <w:p w:rsidR="00731009" w:rsidRDefault="00731009" w:rsidP="00BA54DC">
      <w:pPr>
        <w:pStyle w:val="ListParagraph"/>
        <w:numPr>
          <w:ilvl w:val="0"/>
          <w:numId w:val="14"/>
        </w:numPr>
      </w:pPr>
      <w:r>
        <w:lastRenderedPageBreak/>
        <w:t xml:space="preserve">Intensifying use of space through the Group’s showroom concept and spares implants: The new ‘Endeavour’ showrooms are designed to help tradesmen win new business. New showrooms have been opened in 69 locations and are generating healthy returns. Approximately 40 new showrooms per annum are planned over the medium term. </w:t>
      </w:r>
    </w:p>
    <w:p w:rsidR="00731009" w:rsidRDefault="00731009" w:rsidP="00BA54DC">
      <w:pPr>
        <w:pStyle w:val="ListParagraph"/>
        <w:numPr>
          <w:ilvl w:val="0"/>
          <w:numId w:val="14"/>
        </w:numPr>
      </w:pPr>
      <w:r>
        <w:t xml:space="preserve">Developing multi-channel, sustainability and own label product offerings: The acquisition of an online heating equipment distributor gives the P&amp;H division access to growth in the online channel. Furthermore, the division is developing an additional multichannel capability to enable ordering, account management, and online transactions as well as providing enhanced product information tools to its installer network. Further work is underway to enhance the exclusive brands the Group owns including </w:t>
      </w:r>
      <w:proofErr w:type="spellStart"/>
      <w:r>
        <w:t>iflo</w:t>
      </w:r>
      <w:proofErr w:type="spellEnd"/>
      <w:r>
        <w:t xml:space="preserve"> and BOSS and to continue the progress already made in launching ‘Sustainable Building Solutions’ which accesses Government funding for improvements in household energy efficiency </w:t>
      </w:r>
    </w:p>
    <w:p w:rsidR="00731009" w:rsidRPr="00731009" w:rsidRDefault="00731009" w:rsidP="00731009">
      <w:pPr>
        <w:spacing w:before="100" w:beforeAutospacing="1" w:after="100" w:afterAutospacing="1" w:line="240" w:lineRule="auto"/>
        <w:rPr>
          <w:rFonts w:ascii="Times New Roman" w:eastAsia="Times New Roman" w:hAnsi="Times New Roman" w:cs="Times New Roman"/>
          <w:sz w:val="24"/>
          <w:szCs w:val="24"/>
          <w:lang w:eastAsia="en-GB"/>
        </w:rPr>
      </w:pPr>
      <w:r w:rsidRPr="00731009">
        <w:rPr>
          <w:rFonts w:ascii="Times New Roman" w:eastAsia="Times New Roman" w:hAnsi="Times New Roman" w:cs="Times New Roman"/>
          <w:sz w:val="24"/>
          <w:szCs w:val="24"/>
          <w:lang w:eastAsia="en-GB"/>
        </w:rPr>
        <w:t>The targets for the division are shown below alongside how the P&amp;H division intends to outcompete in its markets:</w:t>
      </w:r>
    </w:p>
    <w:tbl>
      <w:tblPr>
        <w:tblW w:w="5000" w:type="pct"/>
        <w:tblCellSpacing w:w="0" w:type="dxa"/>
        <w:tblBorders>
          <w:insideH w:val="single" w:sz="4" w:space="0" w:color="auto"/>
        </w:tblBorders>
        <w:tblCellMar>
          <w:left w:w="0" w:type="dxa"/>
          <w:right w:w="0" w:type="dxa"/>
        </w:tblCellMar>
        <w:tblLook w:val="04A0" w:firstRow="1" w:lastRow="0" w:firstColumn="1" w:lastColumn="0" w:noHBand="0" w:noVBand="1"/>
      </w:tblPr>
      <w:tblGrid>
        <w:gridCol w:w="4635"/>
        <w:gridCol w:w="1481"/>
        <w:gridCol w:w="2910"/>
      </w:tblGrid>
      <w:tr w:rsidR="00731009" w:rsidRPr="00731009" w:rsidTr="00DD7A1A">
        <w:trPr>
          <w:tblHeader/>
          <w:tblCellSpacing w:w="0" w:type="dxa"/>
        </w:trPr>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Measure</w:t>
            </w:r>
          </w:p>
        </w:tc>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Current</w:t>
            </w:r>
          </w:p>
        </w:tc>
        <w:tc>
          <w:tcPr>
            <w:tcW w:w="0" w:type="auto"/>
            <w:tcBorders>
              <w:top w:val="nil"/>
              <w:bottom w:val="single" w:sz="4" w:space="0" w:color="auto"/>
            </w:tcBorders>
            <w:vAlign w:val="center"/>
            <w:hideMark/>
          </w:tcPr>
          <w:p w:rsidR="00731009" w:rsidRPr="00731009" w:rsidRDefault="00731009" w:rsidP="00731009">
            <w:pPr>
              <w:pStyle w:val="NoSpacing"/>
              <w:rPr>
                <w:b/>
                <w:lang w:eastAsia="en-GB"/>
              </w:rPr>
            </w:pPr>
            <w:r w:rsidRPr="00731009">
              <w:rPr>
                <w:b/>
                <w:lang w:eastAsia="en-GB"/>
              </w:rPr>
              <w:t>Medium term ambition</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 xml:space="preserve">Network expansion </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525 branches</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~10 net new branches p.a.</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 xml:space="preserve">Like-for-like sales growth outperformance </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0-3%</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0-3%</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 xml:space="preserve">Operating margin improvement prospects </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Good</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 xml:space="preserve">Capital expenditure </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£11m*</w:t>
            </w:r>
          </w:p>
        </w:tc>
        <w:tc>
          <w:tcPr>
            <w:tcW w:w="0" w:type="auto"/>
            <w:tcBorders>
              <w:top w:val="single" w:sz="4" w:space="0" w:color="auto"/>
              <w:bottom w:val="single" w:sz="4" w:space="0" w:color="auto"/>
            </w:tcBorders>
            <w:vAlign w:val="center"/>
            <w:hideMark/>
          </w:tcPr>
          <w:p w:rsidR="00731009" w:rsidRPr="00731009" w:rsidRDefault="00731009" w:rsidP="00731009">
            <w:pPr>
              <w:pStyle w:val="NoSpacing"/>
              <w:rPr>
                <w:lang w:eastAsia="en-GB"/>
              </w:rPr>
            </w:pPr>
            <w:r w:rsidRPr="00731009">
              <w:rPr>
                <w:lang w:eastAsia="en-GB"/>
              </w:rPr>
              <w:t>£10-20m p.a.</w:t>
            </w:r>
          </w:p>
        </w:tc>
      </w:tr>
      <w:tr w:rsidR="00731009" w:rsidRPr="00731009" w:rsidTr="00DD7A1A">
        <w:trPr>
          <w:tblCellSpacing w:w="0" w:type="dxa"/>
        </w:trPr>
        <w:tc>
          <w:tcPr>
            <w:tcW w:w="0" w:type="auto"/>
            <w:tcBorders>
              <w:top w:val="single" w:sz="4" w:space="0" w:color="auto"/>
              <w:bottom w:val="nil"/>
            </w:tcBorders>
            <w:vAlign w:val="center"/>
            <w:hideMark/>
          </w:tcPr>
          <w:p w:rsidR="00731009" w:rsidRPr="00731009" w:rsidRDefault="00731009" w:rsidP="00731009">
            <w:pPr>
              <w:pStyle w:val="NoSpacing"/>
              <w:rPr>
                <w:lang w:eastAsia="en-GB"/>
              </w:rPr>
            </w:pPr>
            <w:r w:rsidRPr="00731009">
              <w:rPr>
                <w:lang w:eastAsia="en-GB"/>
              </w:rPr>
              <w:t xml:space="preserve">Lease adjusted ROCE </w:t>
            </w:r>
          </w:p>
        </w:tc>
        <w:tc>
          <w:tcPr>
            <w:tcW w:w="0" w:type="auto"/>
            <w:tcBorders>
              <w:top w:val="single" w:sz="4" w:space="0" w:color="auto"/>
              <w:bottom w:val="nil"/>
            </w:tcBorders>
            <w:vAlign w:val="center"/>
            <w:hideMark/>
          </w:tcPr>
          <w:p w:rsidR="00731009" w:rsidRPr="00731009" w:rsidRDefault="00731009" w:rsidP="00731009">
            <w:pPr>
              <w:pStyle w:val="NoSpacing"/>
              <w:rPr>
                <w:lang w:eastAsia="en-GB"/>
              </w:rPr>
            </w:pPr>
            <w:r w:rsidRPr="00731009">
              <w:rPr>
                <w:lang w:eastAsia="en-GB"/>
              </w:rPr>
              <w:t>-</w:t>
            </w:r>
          </w:p>
        </w:tc>
        <w:tc>
          <w:tcPr>
            <w:tcW w:w="0" w:type="auto"/>
            <w:tcBorders>
              <w:top w:val="single" w:sz="4" w:space="0" w:color="auto"/>
              <w:bottom w:val="nil"/>
            </w:tcBorders>
            <w:vAlign w:val="center"/>
            <w:hideMark/>
          </w:tcPr>
          <w:p w:rsidR="00731009" w:rsidRPr="00731009" w:rsidRDefault="00731009" w:rsidP="00731009">
            <w:pPr>
              <w:pStyle w:val="NoSpacing"/>
              <w:rPr>
                <w:lang w:eastAsia="en-GB"/>
              </w:rPr>
            </w:pPr>
            <w:r w:rsidRPr="00731009">
              <w:rPr>
                <w:lang w:eastAsia="en-GB"/>
              </w:rPr>
              <w:t>Add 150-250bps</w:t>
            </w:r>
          </w:p>
        </w:tc>
      </w:tr>
    </w:tbl>
    <w:p w:rsidR="00731009" w:rsidRPr="00731009" w:rsidRDefault="00731009" w:rsidP="00731009">
      <w:pPr>
        <w:rPr>
          <w:lang w:eastAsia="en-GB"/>
        </w:rPr>
      </w:pPr>
      <w:r w:rsidRPr="00731009">
        <w:rPr>
          <w:lang w:eastAsia="en-GB"/>
        </w:rPr>
        <w:t>*Year ended 31 December 2013</w:t>
      </w:r>
    </w:p>
    <w:p w:rsidR="00731009" w:rsidRPr="00731009" w:rsidRDefault="00731009" w:rsidP="00DD7A1A">
      <w:pPr>
        <w:rPr>
          <w:lang w:eastAsia="en-GB"/>
        </w:rPr>
      </w:pPr>
      <w:r w:rsidRPr="00731009">
        <w:rPr>
          <w:lang w:eastAsia="en-GB"/>
        </w:rPr>
        <w:t xml:space="preserve">Outperformance through: </w:t>
      </w:r>
    </w:p>
    <w:p w:rsidR="00731009" w:rsidRPr="00731009" w:rsidRDefault="00731009" w:rsidP="00BA54DC">
      <w:pPr>
        <w:pStyle w:val="ListParagraph"/>
        <w:numPr>
          <w:ilvl w:val="0"/>
          <w:numId w:val="15"/>
        </w:numPr>
        <w:rPr>
          <w:lang w:eastAsia="en-GB"/>
        </w:rPr>
      </w:pPr>
      <w:r w:rsidRPr="00731009">
        <w:rPr>
          <w:lang w:eastAsia="en-GB"/>
        </w:rPr>
        <w:t xml:space="preserve">Clarity of contracts and installer propositions </w:t>
      </w:r>
    </w:p>
    <w:p w:rsidR="00731009" w:rsidRPr="00731009" w:rsidRDefault="00731009" w:rsidP="00BA54DC">
      <w:pPr>
        <w:pStyle w:val="ListParagraph"/>
        <w:numPr>
          <w:ilvl w:val="0"/>
          <w:numId w:val="15"/>
        </w:numPr>
        <w:rPr>
          <w:lang w:eastAsia="en-GB"/>
        </w:rPr>
      </w:pPr>
      <w:r w:rsidRPr="00731009">
        <w:rPr>
          <w:lang w:eastAsia="en-GB"/>
        </w:rPr>
        <w:t xml:space="preserve">Enhanced branch pricing tools </w:t>
      </w:r>
    </w:p>
    <w:p w:rsidR="00731009" w:rsidRPr="00731009" w:rsidRDefault="00731009" w:rsidP="00BA54DC">
      <w:pPr>
        <w:pStyle w:val="ListParagraph"/>
        <w:numPr>
          <w:ilvl w:val="0"/>
          <w:numId w:val="15"/>
        </w:numPr>
        <w:rPr>
          <w:lang w:eastAsia="en-GB"/>
        </w:rPr>
      </w:pPr>
      <w:r w:rsidRPr="00731009">
        <w:rPr>
          <w:lang w:eastAsia="en-GB"/>
        </w:rPr>
        <w:t xml:space="preserve">Sourcing and own label development </w:t>
      </w:r>
    </w:p>
    <w:p w:rsidR="00731009" w:rsidRPr="00731009" w:rsidRDefault="00731009" w:rsidP="00BA54DC">
      <w:pPr>
        <w:pStyle w:val="ListParagraph"/>
        <w:numPr>
          <w:ilvl w:val="0"/>
          <w:numId w:val="15"/>
        </w:numPr>
        <w:rPr>
          <w:lang w:eastAsia="en-GB"/>
        </w:rPr>
      </w:pPr>
      <w:r w:rsidRPr="00731009">
        <w:rPr>
          <w:lang w:eastAsia="en-GB"/>
        </w:rPr>
        <w:t xml:space="preserve">Spares implants </w:t>
      </w:r>
    </w:p>
    <w:p w:rsidR="00731009" w:rsidRPr="00731009" w:rsidRDefault="00731009" w:rsidP="00BA54DC">
      <w:pPr>
        <w:pStyle w:val="ListParagraph"/>
        <w:numPr>
          <w:ilvl w:val="0"/>
          <w:numId w:val="15"/>
        </w:numPr>
        <w:rPr>
          <w:lang w:eastAsia="en-GB"/>
        </w:rPr>
      </w:pPr>
      <w:r w:rsidRPr="00731009">
        <w:rPr>
          <w:lang w:eastAsia="en-GB"/>
        </w:rPr>
        <w:t xml:space="preserve">CPS network expansion </w:t>
      </w:r>
    </w:p>
    <w:p w:rsidR="00731009" w:rsidRPr="00731009" w:rsidRDefault="00731009" w:rsidP="00BA54DC">
      <w:pPr>
        <w:pStyle w:val="ListParagraph"/>
        <w:numPr>
          <w:ilvl w:val="0"/>
          <w:numId w:val="15"/>
        </w:numPr>
        <w:rPr>
          <w:lang w:eastAsia="en-GB"/>
        </w:rPr>
      </w:pPr>
      <w:r w:rsidRPr="00731009">
        <w:rPr>
          <w:lang w:eastAsia="en-GB"/>
        </w:rPr>
        <w:t xml:space="preserve">Endeavour showroom rollout </w:t>
      </w:r>
    </w:p>
    <w:p w:rsidR="00731009" w:rsidRPr="00731009" w:rsidRDefault="00731009" w:rsidP="00BA54DC">
      <w:pPr>
        <w:pStyle w:val="ListParagraph"/>
        <w:numPr>
          <w:ilvl w:val="0"/>
          <w:numId w:val="15"/>
        </w:numPr>
        <w:rPr>
          <w:lang w:eastAsia="en-GB"/>
        </w:rPr>
      </w:pPr>
      <w:r w:rsidRPr="00731009">
        <w:rPr>
          <w:lang w:eastAsia="en-GB"/>
        </w:rPr>
        <w:t xml:space="preserve">Multi-channel establishment </w:t>
      </w:r>
    </w:p>
    <w:p w:rsidR="00731009" w:rsidRPr="00731009" w:rsidRDefault="00731009" w:rsidP="00BA54DC">
      <w:pPr>
        <w:pStyle w:val="ListParagraph"/>
        <w:numPr>
          <w:ilvl w:val="0"/>
          <w:numId w:val="15"/>
        </w:numPr>
        <w:rPr>
          <w:lang w:eastAsia="en-GB"/>
        </w:rPr>
      </w:pPr>
      <w:r w:rsidRPr="00731009">
        <w:rPr>
          <w:lang w:eastAsia="en-GB"/>
        </w:rPr>
        <w:t xml:space="preserve">Sustainable solutions growth </w:t>
      </w:r>
    </w:p>
    <w:p w:rsidR="00731009" w:rsidRDefault="00731009" w:rsidP="00731009">
      <w:pPr>
        <w:pStyle w:val="Heading4"/>
      </w:pPr>
      <w:r>
        <w:t>Contracts Division Strategy</w:t>
      </w:r>
    </w:p>
    <w:p w:rsidR="00731009" w:rsidRDefault="00731009" w:rsidP="00731009">
      <w:r>
        <w:t>The Contracts Division was formed on 1 January 2014, bringing together the three businesses that supply products to large construction companies and project contractors. These businesses all track major commercial and infrastructure projects and by bringing them together into one division, this will assist project tracking and selling into major contractors.</w:t>
      </w:r>
    </w:p>
    <w:p w:rsidR="00731009" w:rsidRDefault="00731009" w:rsidP="000E7B4A">
      <w:pPr>
        <w:rPr>
          <w:lang w:eastAsia="en-GB"/>
        </w:rPr>
      </w:pPr>
      <w:r w:rsidRPr="00731009">
        <w:rPr>
          <w:lang w:eastAsia="en-GB"/>
        </w:rPr>
        <w:t>As with the other divisions, the Group has clear performance targets for the division including increasing the level of capital investment with the ambition of outperforming market peers.</w:t>
      </w:r>
    </w:p>
    <w:p w:rsidR="00DD7A1A" w:rsidRDefault="00DD7A1A" w:rsidP="00731009">
      <w:pPr>
        <w:spacing w:before="100" w:beforeAutospacing="1" w:after="100" w:afterAutospacing="1" w:line="240" w:lineRule="auto"/>
        <w:rPr>
          <w:rFonts w:ascii="Times New Roman" w:eastAsia="Times New Roman" w:hAnsi="Times New Roman" w:cs="Times New Roman"/>
          <w:sz w:val="24"/>
          <w:szCs w:val="24"/>
          <w:lang w:eastAsia="en-GB"/>
        </w:rPr>
      </w:pPr>
    </w:p>
    <w:p w:rsidR="000E7B4A" w:rsidRDefault="000E7B4A" w:rsidP="00731009">
      <w:pPr>
        <w:spacing w:before="100" w:beforeAutospacing="1" w:after="100" w:afterAutospacing="1" w:line="240" w:lineRule="auto"/>
        <w:rPr>
          <w:rFonts w:ascii="Times New Roman" w:eastAsia="Times New Roman" w:hAnsi="Times New Roman" w:cs="Times New Roman"/>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562"/>
        <w:gridCol w:w="1457"/>
        <w:gridCol w:w="3007"/>
      </w:tblGrid>
      <w:tr w:rsidR="00731009" w:rsidRPr="00731009" w:rsidTr="00DD7A1A">
        <w:trPr>
          <w:tblHeader/>
          <w:tblCellSpacing w:w="0" w:type="dxa"/>
        </w:trPr>
        <w:tc>
          <w:tcPr>
            <w:tcW w:w="0" w:type="auto"/>
            <w:tcBorders>
              <w:bottom w:val="single" w:sz="4" w:space="0" w:color="auto"/>
            </w:tcBorders>
            <w:vAlign w:val="center"/>
            <w:hideMark/>
          </w:tcPr>
          <w:p w:rsidR="00731009" w:rsidRPr="00DD7A1A" w:rsidRDefault="00731009" w:rsidP="00DD7A1A">
            <w:pPr>
              <w:pStyle w:val="NoSpacing"/>
              <w:rPr>
                <w:b/>
                <w:lang w:eastAsia="en-GB"/>
              </w:rPr>
            </w:pPr>
            <w:r w:rsidRPr="00DD7A1A">
              <w:rPr>
                <w:b/>
                <w:lang w:eastAsia="en-GB"/>
              </w:rPr>
              <w:t>Measure</w:t>
            </w:r>
          </w:p>
        </w:tc>
        <w:tc>
          <w:tcPr>
            <w:tcW w:w="0" w:type="auto"/>
            <w:tcBorders>
              <w:bottom w:val="single" w:sz="4" w:space="0" w:color="auto"/>
            </w:tcBorders>
            <w:vAlign w:val="center"/>
            <w:hideMark/>
          </w:tcPr>
          <w:p w:rsidR="00731009" w:rsidRPr="00DD7A1A" w:rsidRDefault="00731009" w:rsidP="00DD7A1A">
            <w:pPr>
              <w:pStyle w:val="NoSpacing"/>
              <w:rPr>
                <w:b/>
                <w:lang w:eastAsia="en-GB"/>
              </w:rPr>
            </w:pPr>
            <w:r w:rsidRPr="00DD7A1A">
              <w:rPr>
                <w:b/>
                <w:lang w:eastAsia="en-GB"/>
              </w:rPr>
              <w:t>Current</w:t>
            </w:r>
          </w:p>
        </w:tc>
        <w:tc>
          <w:tcPr>
            <w:tcW w:w="0" w:type="auto"/>
            <w:tcBorders>
              <w:bottom w:val="single" w:sz="4" w:space="0" w:color="auto"/>
            </w:tcBorders>
            <w:vAlign w:val="center"/>
            <w:hideMark/>
          </w:tcPr>
          <w:p w:rsidR="00731009" w:rsidRPr="00DD7A1A" w:rsidRDefault="00731009" w:rsidP="00DD7A1A">
            <w:pPr>
              <w:pStyle w:val="NoSpacing"/>
              <w:rPr>
                <w:b/>
                <w:lang w:eastAsia="en-GB"/>
              </w:rPr>
            </w:pPr>
            <w:r w:rsidRPr="00DD7A1A">
              <w:rPr>
                <w:b/>
                <w:lang w:eastAsia="en-GB"/>
              </w:rPr>
              <w:t>Medium term ambition</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 xml:space="preserve">Network expansion </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181 branches</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1-2% net new space growth</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 xml:space="preserve">Like-for-like sales growth outperformance </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0-3%</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1-3%</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 xml:space="preserve">Operating margin improvement prospects </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Good</w:t>
            </w:r>
          </w:p>
        </w:tc>
      </w:tr>
      <w:tr w:rsidR="00731009" w:rsidRPr="00731009" w:rsidTr="00DD7A1A">
        <w:trPr>
          <w:tblCellSpacing w:w="0" w:type="dxa"/>
        </w:trPr>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 xml:space="preserve">Capital expenditure </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£12m*</w:t>
            </w:r>
          </w:p>
        </w:tc>
        <w:tc>
          <w:tcPr>
            <w:tcW w:w="0" w:type="auto"/>
            <w:tcBorders>
              <w:top w:val="single" w:sz="4" w:space="0" w:color="auto"/>
              <w:bottom w:val="single" w:sz="4" w:space="0" w:color="auto"/>
            </w:tcBorders>
            <w:vAlign w:val="center"/>
            <w:hideMark/>
          </w:tcPr>
          <w:p w:rsidR="00731009" w:rsidRPr="00731009" w:rsidRDefault="00731009" w:rsidP="00DD7A1A">
            <w:pPr>
              <w:pStyle w:val="NoSpacing"/>
              <w:rPr>
                <w:lang w:eastAsia="en-GB"/>
              </w:rPr>
            </w:pPr>
            <w:r w:rsidRPr="00731009">
              <w:rPr>
                <w:lang w:eastAsia="en-GB"/>
              </w:rPr>
              <w:t>£10-20m p.a.</w:t>
            </w:r>
          </w:p>
        </w:tc>
      </w:tr>
      <w:tr w:rsidR="00731009" w:rsidRPr="00731009" w:rsidTr="00DD7A1A">
        <w:trPr>
          <w:tblCellSpacing w:w="0" w:type="dxa"/>
        </w:trPr>
        <w:tc>
          <w:tcPr>
            <w:tcW w:w="0" w:type="auto"/>
            <w:tcBorders>
              <w:top w:val="single" w:sz="4" w:space="0" w:color="auto"/>
            </w:tcBorders>
            <w:vAlign w:val="center"/>
            <w:hideMark/>
          </w:tcPr>
          <w:p w:rsidR="00731009" w:rsidRPr="00731009" w:rsidRDefault="00731009" w:rsidP="00DD7A1A">
            <w:pPr>
              <w:pStyle w:val="NoSpacing"/>
              <w:rPr>
                <w:lang w:eastAsia="en-GB"/>
              </w:rPr>
            </w:pPr>
            <w:r w:rsidRPr="00731009">
              <w:rPr>
                <w:lang w:eastAsia="en-GB"/>
              </w:rPr>
              <w:t xml:space="preserve">Lease adjusted ROCE </w:t>
            </w:r>
          </w:p>
        </w:tc>
        <w:tc>
          <w:tcPr>
            <w:tcW w:w="0" w:type="auto"/>
            <w:tcBorders>
              <w:top w:val="single" w:sz="4" w:space="0" w:color="auto"/>
            </w:tcBorders>
            <w:vAlign w:val="center"/>
            <w:hideMark/>
          </w:tcPr>
          <w:p w:rsidR="00731009" w:rsidRPr="00731009" w:rsidRDefault="00731009" w:rsidP="00DD7A1A">
            <w:pPr>
              <w:pStyle w:val="NoSpacing"/>
              <w:rPr>
                <w:lang w:eastAsia="en-GB"/>
              </w:rPr>
            </w:pPr>
            <w:r w:rsidRPr="00731009">
              <w:rPr>
                <w:lang w:eastAsia="en-GB"/>
              </w:rPr>
              <w:t>-</w:t>
            </w:r>
          </w:p>
        </w:tc>
        <w:tc>
          <w:tcPr>
            <w:tcW w:w="0" w:type="auto"/>
            <w:tcBorders>
              <w:top w:val="single" w:sz="4" w:space="0" w:color="auto"/>
            </w:tcBorders>
            <w:vAlign w:val="center"/>
            <w:hideMark/>
          </w:tcPr>
          <w:p w:rsidR="00731009" w:rsidRPr="00731009" w:rsidRDefault="00731009" w:rsidP="00DD7A1A">
            <w:pPr>
              <w:pStyle w:val="NoSpacing"/>
              <w:rPr>
                <w:lang w:eastAsia="en-GB"/>
              </w:rPr>
            </w:pPr>
            <w:r w:rsidRPr="00731009">
              <w:rPr>
                <w:lang w:eastAsia="en-GB"/>
              </w:rPr>
              <w:t>Add 200-300bps</w:t>
            </w:r>
          </w:p>
        </w:tc>
      </w:tr>
    </w:tbl>
    <w:p w:rsidR="00731009" w:rsidRPr="00731009" w:rsidRDefault="00731009" w:rsidP="00DD7A1A">
      <w:pPr>
        <w:rPr>
          <w:lang w:eastAsia="en-GB"/>
        </w:rPr>
      </w:pPr>
      <w:r w:rsidRPr="00731009">
        <w:rPr>
          <w:lang w:eastAsia="en-GB"/>
        </w:rPr>
        <w:t>*Year ended 31 December 2013</w:t>
      </w:r>
    </w:p>
    <w:p w:rsidR="00731009" w:rsidRPr="00731009" w:rsidRDefault="00731009" w:rsidP="00DD7A1A">
      <w:pPr>
        <w:rPr>
          <w:lang w:eastAsia="en-GB"/>
        </w:rPr>
      </w:pPr>
      <w:r w:rsidRPr="00731009">
        <w:rPr>
          <w:lang w:eastAsia="en-GB"/>
        </w:rPr>
        <w:t xml:space="preserve">Outperformance through: </w:t>
      </w:r>
    </w:p>
    <w:p w:rsidR="00731009" w:rsidRPr="00731009" w:rsidRDefault="00731009" w:rsidP="00BA54DC">
      <w:pPr>
        <w:pStyle w:val="ListParagraph"/>
        <w:numPr>
          <w:ilvl w:val="0"/>
          <w:numId w:val="16"/>
        </w:numPr>
        <w:rPr>
          <w:lang w:eastAsia="en-GB"/>
        </w:rPr>
      </w:pPr>
      <w:r w:rsidRPr="00731009">
        <w:rPr>
          <w:lang w:eastAsia="en-GB"/>
        </w:rPr>
        <w:t>Deeper product knowledge and customer service</w:t>
      </w:r>
    </w:p>
    <w:p w:rsidR="00731009" w:rsidRPr="00731009" w:rsidRDefault="00731009" w:rsidP="00BA54DC">
      <w:pPr>
        <w:pStyle w:val="ListParagraph"/>
        <w:numPr>
          <w:ilvl w:val="0"/>
          <w:numId w:val="16"/>
        </w:numPr>
        <w:rPr>
          <w:lang w:eastAsia="en-GB"/>
        </w:rPr>
      </w:pPr>
      <w:r w:rsidRPr="00731009">
        <w:rPr>
          <w:lang w:eastAsia="en-GB"/>
        </w:rPr>
        <w:t>Extended ranges</w:t>
      </w:r>
    </w:p>
    <w:p w:rsidR="00731009" w:rsidRPr="00731009" w:rsidRDefault="00731009" w:rsidP="00BA54DC">
      <w:pPr>
        <w:pStyle w:val="ListParagraph"/>
        <w:numPr>
          <w:ilvl w:val="0"/>
          <w:numId w:val="16"/>
        </w:numPr>
        <w:rPr>
          <w:lang w:eastAsia="en-GB"/>
        </w:rPr>
      </w:pPr>
      <w:r w:rsidRPr="00731009">
        <w:rPr>
          <w:lang w:eastAsia="en-GB"/>
        </w:rPr>
        <w:t>Selective network expansion</w:t>
      </w:r>
    </w:p>
    <w:p w:rsidR="00731009" w:rsidRPr="00731009" w:rsidRDefault="00731009" w:rsidP="00BA54DC">
      <w:pPr>
        <w:pStyle w:val="ListParagraph"/>
        <w:numPr>
          <w:ilvl w:val="0"/>
          <w:numId w:val="16"/>
        </w:numPr>
        <w:rPr>
          <w:lang w:eastAsia="en-GB"/>
        </w:rPr>
      </w:pPr>
      <w:r w:rsidRPr="00731009">
        <w:rPr>
          <w:lang w:eastAsia="en-GB"/>
        </w:rPr>
        <w:t>Category expansion</w:t>
      </w:r>
    </w:p>
    <w:p w:rsidR="00731009" w:rsidRPr="00731009" w:rsidRDefault="00731009" w:rsidP="00BA54DC">
      <w:pPr>
        <w:pStyle w:val="ListParagraph"/>
        <w:numPr>
          <w:ilvl w:val="0"/>
          <w:numId w:val="16"/>
        </w:numPr>
        <w:rPr>
          <w:lang w:eastAsia="en-GB"/>
        </w:rPr>
      </w:pPr>
      <w:r w:rsidRPr="00731009">
        <w:rPr>
          <w:lang w:eastAsia="en-GB"/>
        </w:rPr>
        <w:t>Sourcing and own label development</w:t>
      </w:r>
    </w:p>
    <w:p w:rsidR="00DD7A1A" w:rsidRDefault="00DD7A1A" w:rsidP="00DD7A1A">
      <w:pPr>
        <w:pStyle w:val="Heading4"/>
      </w:pPr>
      <w:r>
        <w:t>Consumer Division Strategy</w:t>
      </w:r>
    </w:p>
    <w:p w:rsidR="00DD7A1A" w:rsidRDefault="00DD7A1A" w:rsidP="00DD7A1A">
      <w:r>
        <w:t>The key elements of the consumer division’s strategy are to:</w:t>
      </w:r>
    </w:p>
    <w:p w:rsidR="00DD7A1A" w:rsidRDefault="00DD7A1A" w:rsidP="00BA54DC">
      <w:pPr>
        <w:pStyle w:val="ListParagraph"/>
        <w:numPr>
          <w:ilvl w:val="0"/>
          <w:numId w:val="17"/>
        </w:numPr>
      </w:pPr>
      <w:r>
        <w:t>Enhance Wickes proposition to tradesmen and serious ‘</w:t>
      </w:r>
      <w:proofErr w:type="spellStart"/>
      <w:r>
        <w:t>DIYers</w:t>
      </w:r>
      <w:proofErr w:type="spellEnd"/>
      <w:r>
        <w:t>’</w:t>
      </w:r>
    </w:p>
    <w:p w:rsidR="00DD7A1A" w:rsidRDefault="00DD7A1A" w:rsidP="00BA54DC">
      <w:pPr>
        <w:pStyle w:val="ListParagraph"/>
        <w:numPr>
          <w:ilvl w:val="0"/>
          <w:numId w:val="17"/>
        </w:numPr>
      </w:pPr>
      <w:r>
        <w:t>Gain nationwide coverage through Wickes store estate including renewing its store format</w:t>
      </w:r>
    </w:p>
    <w:p w:rsidR="00DD7A1A" w:rsidRDefault="00DD7A1A" w:rsidP="00BA54DC">
      <w:pPr>
        <w:pStyle w:val="ListParagraph"/>
        <w:numPr>
          <w:ilvl w:val="0"/>
          <w:numId w:val="17"/>
        </w:numPr>
      </w:pPr>
      <w:r>
        <w:t xml:space="preserve">Expand the </w:t>
      </w:r>
      <w:proofErr w:type="spellStart"/>
      <w:r>
        <w:t>Toolstation</w:t>
      </w:r>
      <w:proofErr w:type="spellEnd"/>
      <w:r>
        <w:t xml:space="preserve"> network through Wickes implants and standalone shops</w:t>
      </w:r>
    </w:p>
    <w:p w:rsidR="00DD7A1A" w:rsidRDefault="00DD7A1A" w:rsidP="00BA54DC">
      <w:pPr>
        <w:pStyle w:val="ListParagraph"/>
        <w:numPr>
          <w:ilvl w:val="0"/>
          <w:numId w:val="17"/>
        </w:numPr>
      </w:pPr>
      <w:r>
        <w:t>Continue multi-channel development</w:t>
      </w:r>
    </w:p>
    <w:p w:rsidR="00DD7A1A" w:rsidRDefault="00DD7A1A" w:rsidP="00DD7A1A">
      <w:r>
        <w:t xml:space="preserve">Wickes’ ambition is to always offer lower prices than its competitors alongside ranges, to include brands that trade and serious </w:t>
      </w:r>
      <w:proofErr w:type="spellStart"/>
      <w:r>
        <w:t>DIYers</w:t>
      </w:r>
      <w:proofErr w:type="spellEnd"/>
      <w:r>
        <w:t xml:space="preserve"> demand, which enable customers to complete any DIY or trade RMI project. Plans are progressing to improve online and in-store availability, improve ranges and enhance the level of customer service. Wickes already has a growing multi-channel business which holds its fair share of the online market, however, the Group believes there is opportunity to further enhance sales through this channel by adding additional ranges.</w:t>
      </w:r>
    </w:p>
    <w:p w:rsidR="00DD7A1A" w:rsidRDefault="00DD7A1A" w:rsidP="00DD7A1A">
      <w:r>
        <w:t>Wickes plans to continue to expand its network by between 5 and 10 new stores per year.</w:t>
      </w:r>
    </w:p>
    <w:p w:rsidR="00DD7A1A" w:rsidRDefault="00DD7A1A" w:rsidP="00DD7A1A">
      <w:r>
        <w:t xml:space="preserve">The early signs from the recent </w:t>
      </w:r>
      <w:proofErr w:type="spellStart"/>
      <w:r>
        <w:t>Toolstation</w:t>
      </w:r>
      <w:proofErr w:type="spellEnd"/>
      <w:r>
        <w:t xml:space="preserve"> store implants in Wickes have also been encouraging. These implants contribute to Wickes rental cost, are driving additional footfall and producing solid returns in their own right for the </w:t>
      </w:r>
      <w:proofErr w:type="spellStart"/>
      <w:r>
        <w:t>Toolstation</w:t>
      </w:r>
      <w:proofErr w:type="spellEnd"/>
      <w:r>
        <w:t xml:space="preserve"> business without increasing the Group’s lease commitments.</w:t>
      </w:r>
    </w:p>
    <w:p w:rsidR="00DD7A1A" w:rsidRPr="00DD7A1A" w:rsidRDefault="00DD7A1A" w:rsidP="00DD7A1A">
      <w:pPr>
        <w:rPr>
          <w:lang w:eastAsia="en-GB"/>
        </w:rPr>
      </w:pPr>
      <w:proofErr w:type="spellStart"/>
      <w:r w:rsidRPr="00DD7A1A">
        <w:rPr>
          <w:lang w:eastAsia="en-GB"/>
        </w:rPr>
        <w:t>Toolstation</w:t>
      </w:r>
      <w:proofErr w:type="spellEnd"/>
      <w:r w:rsidRPr="00DD7A1A">
        <w:rPr>
          <w:lang w:eastAsia="en-GB"/>
        </w:rPr>
        <w:t xml:space="preserve"> is planning to continue to open both Wickes implants and standalone stores with an ambition to open approximately 100 shops in the medium term. </w:t>
      </w:r>
      <w:proofErr w:type="spellStart"/>
      <w:r w:rsidRPr="00DD7A1A">
        <w:rPr>
          <w:lang w:eastAsia="en-GB"/>
        </w:rPr>
        <w:t>Toolstation’s</w:t>
      </w:r>
      <w:proofErr w:type="spellEnd"/>
      <w:r w:rsidRPr="00DD7A1A">
        <w:rPr>
          <w:lang w:eastAsia="en-GB"/>
        </w:rPr>
        <w:t xml:space="preserve"> fixed prices, excellent availability, delivery promise and service proposition are resonating strongly with jobbing tradesmen and general </w:t>
      </w:r>
      <w:proofErr w:type="spellStart"/>
      <w:r w:rsidRPr="00DD7A1A">
        <w:rPr>
          <w:lang w:eastAsia="en-GB"/>
        </w:rPr>
        <w:t>DIYers</w:t>
      </w:r>
      <w:proofErr w:type="spellEnd"/>
      <w:r w:rsidRPr="00DD7A1A">
        <w:rPr>
          <w:lang w:eastAsia="en-GB"/>
        </w:rPr>
        <w:t xml:space="preserve"> who are not able to negotiate larger volume discounts from trade outlets. The performance of both standalone </w:t>
      </w:r>
      <w:proofErr w:type="spellStart"/>
      <w:r w:rsidRPr="00DD7A1A">
        <w:rPr>
          <w:lang w:eastAsia="en-GB"/>
        </w:rPr>
        <w:t>Toolstation</w:t>
      </w:r>
      <w:proofErr w:type="spellEnd"/>
      <w:r w:rsidRPr="00DD7A1A">
        <w:rPr>
          <w:lang w:eastAsia="en-GB"/>
        </w:rPr>
        <w:t xml:space="preserve"> stores and Wickes implants gives the Group confidence to extend the rollout of new shops.</w:t>
      </w:r>
    </w:p>
    <w:p w:rsidR="00DD7A1A" w:rsidRDefault="00DD7A1A" w:rsidP="00DD7A1A">
      <w:pPr>
        <w:rPr>
          <w:lang w:eastAsia="en-GB"/>
        </w:rPr>
      </w:pPr>
      <w:r w:rsidRPr="00DD7A1A">
        <w:rPr>
          <w:lang w:eastAsia="en-GB"/>
        </w:rPr>
        <w:t>The performance targets for the Consumer division are set out below:</w:t>
      </w:r>
    </w:p>
    <w:p w:rsidR="00DD7A1A" w:rsidRPr="00DD7A1A" w:rsidRDefault="00DD7A1A" w:rsidP="00DD7A1A">
      <w:pPr>
        <w:spacing w:before="100" w:beforeAutospacing="1" w:after="100" w:afterAutospacing="1" w:line="240" w:lineRule="auto"/>
        <w:rPr>
          <w:rFonts w:ascii="Times New Roman" w:eastAsia="Times New Roman" w:hAnsi="Times New Roman" w:cs="Times New Roman"/>
          <w:sz w:val="24"/>
          <w:szCs w:val="24"/>
          <w:lang w:eastAsia="en-GB"/>
        </w:rPr>
      </w:pPr>
    </w:p>
    <w:tbl>
      <w:tblPr>
        <w:tblW w:w="5000" w:type="pct"/>
        <w:tblCellSpacing w:w="0" w:type="dxa"/>
        <w:tblBorders>
          <w:insideH w:val="single" w:sz="4" w:space="0" w:color="auto"/>
        </w:tblBorders>
        <w:tblCellMar>
          <w:left w:w="0" w:type="dxa"/>
          <w:right w:w="0" w:type="dxa"/>
        </w:tblCellMar>
        <w:tblLook w:val="04A0" w:firstRow="1" w:lastRow="0" w:firstColumn="1" w:lastColumn="0" w:noHBand="0" w:noVBand="1"/>
      </w:tblPr>
      <w:tblGrid>
        <w:gridCol w:w="4501"/>
        <w:gridCol w:w="1669"/>
        <w:gridCol w:w="2856"/>
      </w:tblGrid>
      <w:tr w:rsidR="00DD7A1A" w:rsidRPr="00DD7A1A" w:rsidTr="00DD7A1A">
        <w:trPr>
          <w:tblHeader/>
          <w:tblCellSpacing w:w="0" w:type="dxa"/>
        </w:trPr>
        <w:tc>
          <w:tcPr>
            <w:tcW w:w="0" w:type="auto"/>
            <w:vAlign w:val="center"/>
            <w:hideMark/>
          </w:tcPr>
          <w:p w:rsidR="00DD7A1A" w:rsidRPr="00DD7A1A" w:rsidRDefault="00DD7A1A" w:rsidP="00DD7A1A">
            <w:pPr>
              <w:pStyle w:val="NoSpacing"/>
              <w:rPr>
                <w:b/>
                <w:lang w:eastAsia="en-GB"/>
              </w:rPr>
            </w:pPr>
            <w:r w:rsidRPr="00DD7A1A">
              <w:rPr>
                <w:b/>
                <w:lang w:eastAsia="en-GB"/>
              </w:rPr>
              <w:t>Measure</w:t>
            </w:r>
          </w:p>
        </w:tc>
        <w:tc>
          <w:tcPr>
            <w:tcW w:w="0" w:type="auto"/>
            <w:vAlign w:val="center"/>
            <w:hideMark/>
          </w:tcPr>
          <w:p w:rsidR="00DD7A1A" w:rsidRPr="00DD7A1A" w:rsidRDefault="00DD7A1A" w:rsidP="00DD7A1A">
            <w:pPr>
              <w:pStyle w:val="NoSpacing"/>
              <w:rPr>
                <w:b/>
                <w:lang w:eastAsia="en-GB"/>
              </w:rPr>
            </w:pPr>
            <w:r w:rsidRPr="00DD7A1A">
              <w:rPr>
                <w:b/>
                <w:lang w:eastAsia="en-GB"/>
              </w:rPr>
              <w:t>Current</w:t>
            </w:r>
          </w:p>
        </w:tc>
        <w:tc>
          <w:tcPr>
            <w:tcW w:w="0" w:type="auto"/>
            <w:vAlign w:val="center"/>
            <w:hideMark/>
          </w:tcPr>
          <w:p w:rsidR="00DD7A1A" w:rsidRPr="00DD7A1A" w:rsidRDefault="00DD7A1A" w:rsidP="00DD7A1A">
            <w:pPr>
              <w:pStyle w:val="NoSpacing"/>
              <w:rPr>
                <w:b/>
                <w:lang w:eastAsia="en-GB"/>
              </w:rPr>
            </w:pPr>
            <w:r w:rsidRPr="00DD7A1A">
              <w:rPr>
                <w:b/>
                <w:lang w:eastAsia="en-GB"/>
              </w:rPr>
              <w:t>Medium term ambition</w:t>
            </w:r>
          </w:p>
        </w:tc>
      </w:tr>
      <w:tr w:rsidR="00DD7A1A" w:rsidRPr="00DD7A1A" w:rsidTr="00DD7A1A">
        <w:trPr>
          <w:tblCellSpacing w:w="0" w:type="dxa"/>
        </w:trPr>
        <w:tc>
          <w:tcPr>
            <w:tcW w:w="0" w:type="auto"/>
            <w:vAlign w:val="center"/>
            <w:hideMark/>
          </w:tcPr>
          <w:p w:rsidR="00DD7A1A" w:rsidRPr="00DD7A1A" w:rsidRDefault="00DD7A1A" w:rsidP="00DD7A1A">
            <w:pPr>
              <w:pStyle w:val="NoSpacing"/>
              <w:rPr>
                <w:lang w:eastAsia="en-GB"/>
              </w:rPr>
            </w:pPr>
            <w:r w:rsidRPr="00DD7A1A">
              <w:rPr>
                <w:lang w:eastAsia="en-GB"/>
              </w:rPr>
              <w:t xml:space="preserve">Network expansion </w:t>
            </w:r>
          </w:p>
        </w:tc>
        <w:tc>
          <w:tcPr>
            <w:tcW w:w="0" w:type="auto"/>
            <w:vAlign w:val="center"/>
            <w:hideMark/>
          </w:tcPr>
          <w:p w:rsidR="00DD7A1A" w:rsidRPr="00DD7A1A" w:rsidRDefault="00DD7A1A" w:rsidP="00DD7A1A">
            <w:pPr>
              <w:pStyle w:val="NoSpacing"/>
              <w:rPr>
                <w:lang w:eastAsia="en-GB"/>
              </w:rPr>
            </w:pPr>
            <w:r w:rsidRPr="00DD7A1A">
              <w:rPr>
                <w:lang w:eastAsia="en-GB"/>
              </w:rPr>
              <w:t>227 Wickes</w:t>
            </w:r>
            <w:r w:rsidRPr="00DD7A1A">
              <w:rPr>
                <w:lang w:eastAsia="en-GB"/>
              </w:rPr>
              <w:br/>
              <w:t>108 Tile Giant</w:t>
            </w:r>
            <w:r w:rsidRPr="00DD7A1A">
              <w:rPr>
                <w:lang w:eastAsia="en-GB"/>
              </w:rPr>
              <w:br/>
              <w:t xml:space="preserve">143 </w:t>
            </w:r>
            <w:proofErr w:type="spellStart"/>
            <w:r w:rsidRPr="00DD7A1A">
              <w:rPr>
                <w:lang w:eastAsia="en-GB"/>
              </w:rPr>
              <w:t>Toolstation</w:t>
            </w:r>
            <w:proofErr w:type="spellEnd"/>
          </w:p>
        </w:tc>
        <w:tc>
          <w:tcPr>
            <w:tcW w:w="0" w:type="auto"/>
            <w:vAlign w:val="center"/>
            <w:hideMark/>
          </w:tcPr>
          <w:p w:rsidR="00DD7A1A" w:rsidRPr="00DD7A1A" w:rsidRDefault="00DD7A1A" w:rsidP="00DD7A1A">
            <w:pPr>
              <w:pStyle w:val="NoSpacing"/>
              <w:rPr>
                <w:lang w:eastAsia="en-GB"/>
              </w:rPr>
            </w:pPr>
            <w:r w:rsidRPr="00DD7A1A">
              <w:rPr>
                <w:lang w:eastAsia="en-GB"/>
              </w:rPr>
              <w:t>5-10 net new p.a. implants</w:t>
            </w:r>
            <w:r w:rsidRPr="00DD7A1A">
              <w:rPr>
                <w:lang w:eastAsia="en-GB"/>
              </w:rPr>
              <w:br/>
              <w:t>~20 p.a.</w:t>
            </w:r>
          </w:p>
        </w:tc>
      </w:tr>
      <w:tr w:rsidR="00DD7A1A" w:rsidRPr="00DD7A1A" w:rsidTr="00DD7A1A">
        <w:trPr>
          <w:tblCellSpacing w:w="0" w:type="dxa"/>
        </w:trPr>
        <w:tc>
          <w:tcPr>
            <w:tcW w:w="0" w:type="auto"/>
            <w:vAlign w:val="center"/>
            <w:hideMark/>
          </w:tcPr>
          <w:p w:rsidR="00DD7A1A" w:rsidRPr="00DD7A1A" w:rsidRDefault="00DD7A1A" w:rsidP="00DD7A1A">
            <w:pPr>
              <w:pStyle w:val="NoSpacing"/>
              <w:rPr>
                <w:lang w:eastAsia="en-GB"/>
              </w:rPr>
            </w:pPr>
            <w:r w:rsidRPr="00DD7A1A">
              <w:rPr>
                <w:lang w:eastAsia="en-GB"/>
              </w:rPr>
              <w:t xml:space="preserve">Like-for-like sales growth outperformance </w:t>
            </w:r>
          </w:p>
        </w:tc>
        <w:tc>
          <w:tcPr>
            <w:tcW w:w="0" w:type="auto"/>
            <w:vAlign w:val="center"/>
            <w:hideMark/>
          </w:tcPr>
          <w:p w:rsidR="00DD7A1A" w:rsidRPr="00DD7A1A" w:rsidRDefault="00DD7A1A" w:rsidP="00DD7A1A">
            <w:pPr>
              <w:pStyle w:val="NoSpacing"/>
              <w:rPr>
                <w:lang w:eastAsia="en-GB"/>
              </w:rPr>
            </w:pPr>
            <w:r w:rsidRPr="00DD7A1A">
              <w:rPr>
                <w:lang w:eastAsia="en-GB"/>
              </w:rPr>
              <w:t>Flat</w:t>
            </w:r>
          </w:p>
        </w:tc>
        <w:tc>
          <w:tcPr>
            <w:tcW w:w="0" w:type="auto"/>
            <w:vAlign w:val="center"/>
            <w:hideMark/>
          </w:tcPr>
          <w:p w:rsidR="00DD7A1A" w:rsidRPr="00DD7A1A" w:rsidRDefault="00DD7A1A" w:rsidP="00DD7A1A">
            <w:pPr>
              <w:pStyle w:val="NoSpacing"/>
              <w:rPr>
                <w:lang w:eastAsia="en-GB"/>
              </w:rPr>
            </w:pPr>
            <w:r w:rsidRPr="00DD7A1A">
              <w:rPr>
                <w:lang w:eastAsia="en-GB"/>
              </w:rPr>
              <w:t>Above market</w:t>
            </w:r>
          </w:p>
        </w:tc>
      </w:tr>
      <w:tr w:rsidR="00DD7A1A" w:rsidRPr="00DD7A1A" w:rsidTr="00DD7A1A">
        <w:trPr>
          <w:tblCellSpacing w:w="0" w:type="dxa"/>
        </w:trPr>
        <w:tc>
          <w:tcPr>
            <w:tcW w:w="0" w:type="auto"/>
            <w:vAlign w:val="center"/>
            <w:hideMark/>
          </w:tcPr>
          <w:p w:rsidR="00DD7A1A" w:rsidRPr="00DD7A1A" w:rsidRDefault="00DD7A1A" w:rsidP="00DD7A1A">
            <w:pPr>
              <w:pStyle w:val="NoSpacing"/>
              <w:rPr>
                <w:lang w:eastAsia="en-GB"/>
              </w:rPr>
            </w:pPr>
            <w:r w:rsidRPr="00DD7A1A">
              <w:rPr>
                <w:lang w:eastAsia="en-GB"/>
              </w:rPr>
              <w:t xml:space="preserve">Operating margin improvement prospects </w:t>
            </w:r>
          </w:p>
        </w:tc>
        <w:tc>
          <w:tcPr>
            <w:tcW w:w="0" w:type="auto"/>
            <w:vAlign w:val="center"/>
            <w:hideMark/>
          </w:tcPr>
          <w:p w:rsidR="00DD7A1A" w:rsidRPr="00DD7A1A" w:rsidRDefault="00DD7A1A" w:rsidP="00DD7A1A">
            <w:pPr>
              <w:pStyle w:val="NoSpacing"/>
              <w:rPr>
                <w:lang w:eastAsia="en-GB"/>
              </w:rPr>
            </w:pPr>
            <w:r w:rsidRPr="00DD7A1A">
              <w:rPr>
                <w:lang w:eastAsia="en-GB"/>
              </w:rPr>
              <w:t>-</w:t>
            </w:r>
          </w:p>
        </w:tc>
        <w:tc>
          <w:tcPr>
            <w:tcW w:w="0" w:type="auto"/>
            <w:vAlign w:val="center"/>
            <w:hideMark/>
          </w:tcPr>
          <w:p w:rsidR="00DD7A1A" w:rsidRPr="00DD7A1A" w:rsidRDefault="00DD7A1A" w:rsidP="00DD7A1A">
            <w:pPr>
              <w:pStyle w:val="NoSpacing"/>
              <w:rPr>
                <w:lang w:eastAsia="en-GB"/>
              </w:rPr>
            </w:pPr>
            <w:r w:rsidRPr="00DD7A1A">
              <w:rPr>
                <w:lang w:eastAsia="en-GB"/>
              </w:rPr>
              <w:t>Good</w:t>
            </w:r>
          </w:p>
        </w:tc>
      </w:tr>
      <w:tr w:rsidR="00DD7A1A" w:rsidRPr="00DD7A1A" w:rsidTr="00DD7A1A">
        <w:trPr>
          <w:tblCellSpacing w:w="0" w:type="dxa"/>
        </w:trPr>
        <w:tc>
          <w:tcPr>
            <w:tcW w:w="0" w:type="auto"/>
            <w:vAlign w:val="center"/>
            <w:hideMark/>
          </w:tcPr>
          <w:p w:rsidR="00DD7A1A" w:rsidRPr="00DD7A1A" w:rsidRDefault="00DD7A1A" w:rsidP="00DD7A1A">
            <w:pPr>
              <w:pStyle w:val="NoSpacing"/>
              <w:rPr>
                <w:lang w:eastAsia="en-GB"/>
              </w:rPr>
            </w:pPr>
            <w:r w:rsidRPr="00DD7A1A">
              <w:rPr>
                <w:lang w:eastAsia="en-GB"/>
              </w:rPr>
              <w:t xml:space="preserve">Capital expenditure </w:t>
            </w:r>
          </w:p>
        </w:tc>
        <w:tc>
          <w:tcPr>
            <w:tcW w:w="0" w:type="auto"/>
            <w:vAlign w:val="center"/>
            <w:hideMark/>
          </w:tcPr>
          <w:p w:rsidR="00DD7A1A" w:rsidRPr="00DD7A1A" w:rsidRDefault="00DD7A1A" w:rsidP="00DD7A1A">
            <w:pPr>
              <w:pStyle w:val="NoSpacing"/>
              <w:rPr>
                <w:lang w:eastAsia="en-GB"/>
              </w:rPr>
            </w:pPr>
            <w:r w:rsidRPr="00DD7A1A">
              <w:rPr>
                <w:lang w:eastAsia="en-GB"/>
              </w:rPr>
              <w:t>£18m*</w:t>
            </w:r>
          </w:p>
        </w:tc>
        <w:tc>
          <w:tcPr>
            <w:tcW w:w="0" w:type="auto"/>
            <w:vAlign w:val="center"/>
            <w:hideMark/>
          </w:tcPr>
          <w:p w:rsidR="00DD7A1A" w:rsidRPr="00DD7A1A" w:rsidRDefault="00DD7A1A" w:rsidP="00DD7A1A">
            <w:pPr>
              <w:pStyle w:val="NoSpacing"/>
              <w:rPr>
                <w:lang w:eastAsia="en-GB"/>
              </w:rPr>
            </w:pPr>
            <w:r w:rsidRPr="00DD7A1A">
              <w:rPr>
                <w:lang w:eastAsia="en-GB"/>
              </w:rPr>
              <w:t>£30-40m p.a.</w:t>
            </w:r>
          </w:p>
        </w:tc>
      </w:tr>
      <w:tr w:rsidR="00DD7A1A" w:rsidRPr="00DD7A1A" w:rsidTr="00DD7A1A">
        <w:trPr>
          <w:tblCellSpacing w:w="0" w:type="dxa"/>
        </w:trPr>
        <w:tc>
          <w:tcPr>
            <w:tcW w:w="0" w:type="auto"/>
            <w:vAlign w:val="center"/>
            <w:hideMark/>
          </w:tcPr>
          <w:p w:rsidR="00DD7A1A" w:rsidRPr="00DD7A1A" w:rsidRDefault="00DD7A1A" w:rsidP="00DD7A1A">
            <w:pPr>
              <w:pStyle w:val="NoSpacing"/>
              <w:rPr>
                <w:lang w:eastAsia="en-GB"/>
              </w:rPr>
            </w:pPr>
            <w:r w:rsidRPr="00DD7A1A">
              <w:rPr>
                <w:lang w:eastAsia="en-GB"/>
              </w:rPr>
              <w:t xml:space="preserve">Lease adjusted ROCE </w:t>
            </w:r>
          </w:p>
        </w:tc>
        <w:tc>
          <w:tcPr>
            <w:tcW w:w="0" w:type="auto"/>
            <w:vAlign w:val="center"/>
            <w:hideMark/>
          </w:tcPr>
          <w:p w:rsidR="00DD7A1A" w:rsidRPr="00DD7A1A" w:rsidRDefault="00DD7A1A" w:rsidP="00DD7A1A">
            <w:pPr>
              <w:pStyle w:val="NoSpacing"/>
              <w:rPr>
                <w:lang w:eastAsia="en-GB"/>
              </w:rPr>
            </w:pPr>
            <w:r w:rsidRPr="00DD7A1A">
              <w:rPr>
                <w:lang w:eastAsia="en-GB"/>
              </w:rPr>
              <w:t>-</w:t>
            </w:r>
          </w:p>
        </w:tc>
        <w:tc>
          <w:tcPr>
            <w:tcW w:w="0" w:type="auto"/>
            <w:vAlign w:val="center"/>
            <w:hideMark/>
          </w:tcPr>
          <w:p w:rsidR="00DD7A1A" w:rsidRPr="00DD7A1A" w:rsidRDefault="00DD7A1A" w:rsidP="00DD7A1A">
            <w:pPr>
              <w:pStyle w:val="NoSpacing"/>
              <w:rPr>
                <w:lang w:eastAsia="en-GB"/>
              </w:rPr>
            </w:pPr>
            <w:r w:rsidRPr="00DD7A1A">
              <w:rPr>
                <w:lang w:eastAsia="en-GB"/>
              </w:rPr>
              <w:t>Add 150-250bps</w:t>
            </w:r>
          </w:p>
        </w:tc>
      </w:tr>
    </w:tbl>
    <w:p w:rsidR="00DD7A1A" w:rsidRPr="00DD7A1A" w:rsidRDefault="00DD7A1A" w:rsidP="00DD7A1A">
      <w:pPr>
        <w:rPr>
          <w:lang w:eastAsia="en-GB"/>
        </w:rPr>
      </w:pPr>
      <w:r w:rsidRPr="00DD7A1A">
        <w:rPr>
          <w:lang w:eastAsia="en-GB"/>
        </w:rPr>
        <w:t>*Year ended 31 December 2013</w:t>
      </w:r>
    </w:p>
    <w:p w:rsidR="00DD7A1A" w:rsidRPr="00DD7A1A" w:rsidRDefault="00DD7A1A" w:rsidP="00DD7A1A">
      <w:pPr>
        <w:rPr>
          <w:lang w:eastAsia="en-GB"/>
        </w:rPr>
      </w:pPr>
      <w:r w:rsidRPr="00DD7A1A">
        <w:rPr>
          <w:bCs/>
          <w:lang w:eastAsia="en-GB"/>
        </w:rPr>
        <w:t>Outperformance through:</w:t>
      </w:r>
      <w:r w:rsidRPr="00DD7A1A">
        <w:rPr>
          <w:lang w:eastAsia="en-GB"/>
        </w:rPr>
        <w:t xml:space="preserve"> </w:t>
      </w:r>
    </w:p>
    <w:p w:rsidR="00DD7A1A" w:rsidRPr="00DD7A1A" w:rsidRDefault="00DD7A1A" w:rsidP="00BA54DC">
      <w:pPr>
        <w:pStyle w:val="ListParagraph"/>
        <w:numPr>
          <w:ilvl w:val="0"/>
          <w:numId w:val="18"/>
        </w:numPr>
        <w:rPr>
          <w:lang w:eastAsia="en-GB"/>
        </w:rPr>
      </w:pPr>
      <w:r w:rsidRPr="00DD7A1A">
        <w:rPr>
          <w:lang w:eastAsia="en-GB"/>
        </w:rPr>
        <w:t>Clearer and sharper pricing</w:t>
      </w:r>
    </w:p>
    <w:p w:rsidR="00DD7A1A" w:rsidRPr="00DD7A1A" w:rsidRDefault="00DD7A1A" w:rsidP="00BA54DC">
      <w:pPr>
        <w:pStyle w:val="ListParagraph"/>
        <w:numPr>
          <w:ilvl w:val="0"/>
          <w:numId w:val="18"/>
        </w:numPr>
        <w:rPr>
          <w:lang w:eastAsia="en-GB"/>
        </w:rPr>
      </w:pPr>
      <w:r w:rsidRPr="00DD7A1A">
        <w:rPr>
          <w:lang w:eastAsia="en-GB"/>
        </w:rPr>
        <w:t>Catalogue and online range extension</w:t>
      </w:r>
    </w:p>
    <w:p w:rsidR="00DD7A1A" w:rsidRPr="00DD7A1A" w:rsidRDefault="00DD7A1A" w:rsidP="00BA54DC">
      <w:pPr>
        <w:pStyle w:val="ListParagraph"/>
        <w:numPr>
          <w:ilvl w:val="0"/>
          <w:numId w:val="18"/>
        </w:numPr>
        <w:rPr>
          <w:lang w:eastAsia="en-GB"/>
        </w:rPr>
      </w:pPr>
      <w:r w:rsidRPr="00DD7A1A">
        <w:rPr>
          <w:lang w:eastAsia="en-GB"/>
        </w:rPr>
        <w:t>Improved availability in Wickes</w:t>
      </w:r>
    </w:p>
    <w:p w:rsidR="00DD7A1A" w:rsidRPr="00DD7A1A" w:rsidRDefault="00DD7A1A" w:rsidP="00BA54DC">
      <w:pPr>
        <w:pStyle w:val="ListParagraph"/>
        <w:numPr>
          <w:ilvl w:val="0"/>
          <w:numId w:val="18"/>
        </w:numPr>
        <w:rPr>
          <w:lang w:eastAsia="en-GB"/>
        </w:rPr>
      </w:pPr>
      <w:r w:rsidRPr="00DD7A1A">
        <w:rPr>
          <w:lang w:eastAsia="en-GB"/>
        </w:rPr>
        <w:t>Format renewal and network expansion</w:t>
      </w:r>
    </w:p>
    <w:p w:rsidR="00DD7A1A" w:rsidRPr="00DD7A1A" w:rsidRDefault="00DD7A1A" w:rsidP="00BA54DC">
      <w:pPr>
        <w:pStyle w:val="ListParagraph"/>
        <w:numPr>
          <w:ilvl w:val="0"/>
          <w:numId w:val="18"/>
        </w:numPr>
        <w:rPr>
          <w:lang w:eastAsia="en-GB"/>
        </w:rPr>
      </w:pPr>
      <w:proofErr w:type="spellStart"/>
      <w:r w:rsidRPr="00DD7A1A">
        <w:rPr>
          <w:lang w:eastAsia="en-GB"/>
        </w:rPr>
        <w:t>Toolstation</w:t>
      </w:r>
      <w:proofErr w:type="spellEnd"/>
      <w:r w:rsidRPr="00DD7A1A">
        <w:rPr>
          <w:lang w:eastAsia="en-GB"/>
        </w:rPr>
        <w:t xml:space="preserve"> expansion and implants</w:t>
      </w:r>
    </w:p>
    <w:p w:rsidR="00DD7A1A" w:rsidRPr="00DD7A1A" w:rsidRDefault="00DD7A1A" w:rsidP="00BA54DC">
      <w:pPr>
        <w:pStyle w:val="ListParagraph"/>
        <w:numPr>
          <w:ilvl w:val="0"/>
          <w:numId w:val="18"/>
        </w:numPr>
        <w:rPr>
          <w:lang w:eastAsia="en-GB"/>
        </w:rPr>
      </w:pPr>
      <w:r w:rsidRPr="00DD7A1A">
        <w:rPr>
          <w:lang w:eastAsia="en-GB"/>
        </w:rPr>
        <w:t>Tile Giant implants only</w:t>
      </w:r>
    </w:p>
    <w:p w:rsidR="00DD7A1A" w:rsidRPr="00DD7A1A" w:rsidRDefault="00DD7A1A" w:rsidP="00BA54DC">
      <w:pPr>
        <w:pStyle w:val="ListParagraph"/>
        <w:numPr>
          <w:ilvl w:val="0"/>
          <w:numId w:val="18"/>
        </w:numPr>
        <w:rPr>
          <w:lang w:eastAsia="en-GB"/>
        </w:rPr>
      </w:pPr>
      <w:r w:rsidRPr="00DD7A1A">
        <w:rPr>
          <w:lang w:eastAsia="en-GB"/>
        </w:rPr>
        <w:t>Driving multi-channel harder</w:t>
      </w:r>
    </w:p>
    <w:p w:rsidR="00DD7A1A" w:rsidRDefault="00DD7A1A" w:rsidP="00DD7A1A">
      <w:pPr>
        <w:pStyle w:val="Heading3"/>
      </w:pPr>
      <w:bookmarkStart w:id="19" w:name="_Toc426376596"/>
      <w:r>
        <w:t>Our growth ambition</w:t>
      </w:r>
      <w:bookmarkEnd w:id="19"/>
      <w:r>
        <w:t xml:space="preserve"> </w:t>
      </w:r>
    </w:p>
    <w:p w:rsidR="00DD7A1A" w:rsidRDefault="00DD7A1A" w:rsidP="000A33FB">
      <w:pPr>
        <w:pStyle w:val="Heading4"/>
      </w:pPr>
      <w:r>
        <w:t xml:space="preserve">General </w:t>
      </w:r>
      <w:proofErr w:type="spellStart"/>
      <w:r>
        <w:t>Merchanting</w:t>
      </w:r>
      <w:proofErr w:type="spellEnd"/>
    </w:p>
    <w:p w:rsidR="00DD7A1A" w:rsidRDefault="00DD7A1A" w:rsidP="00DD7A1A">
      <w:pPr>
        <w:pStyle w:val="NormalWeb"/>
      </w:pPr>
      <w:r>
        <w:rPr>
          <w:noProof/>
        </w:rPr>
        <w:drawing>
          <wp:inline distT="0" distB="0" distL="0" distR="0" wp14:anchorId="4146C2EB" wp14:editId="52B0872A">
            <wp:extent cx="2632075" cy="755650"/>
            <wp:effectExtent l="0" t="0" r="0" b="6350"/>
            <wp:docPr id="2" name="Picture 2" descr="Our growth general merch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growth general merchant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2075" cy="755650"/>
                    </a:xfrm>
                    <a:prstGeom prst="rect">
                      <a:avLst/>
                    </a:prstGeom>
                    <a:noFill/>
                    <a:ln>
                      <a:noFill/>
                    </a:ln>
                  </pic:spPr>
                </pic:pic>
              </a:graphicData>
            </a:graphic>
          </wp:inline>
        </w:drawing>
      </w:r>
    </w:p>
    <w:p w:rsidR="00DD7A1A" w:rsidRDefault="00DD7A1A" w:rsidP="00BA54DC">
      <w:pPr>
        <w:numPr>
          <w:ilvl w:val="0"/>
          <w:numId w:val="19"/>
        </w:numPr>
        <w:spacing w:before="100" w:beforeAutospacing="1" w:after="100" w:afterAutospacing="1" w:line="240" w:lineRule="auto"/>
      </w:pPr>
      <w:r>
        <w:t>Network expansion &amp; modernisation</w:t>
      </w:r>
    </w:p>
    <w:p w:rsidR="00DD7A1A" w:rsidRDefault="00DD7A1A" w:rsidP="00BA54DC">
      <w:pPr>
        <w:numPr>
          <w:ilvl w:val="0"/>
          <w:numId w:val="19"/>
        </w:numPr>
        <w:spacing w:before="100" w:beforeAutospacing="1" w:after="100" w:afterAutospacing="1" w:line="240" w:lineRule="auto"/>
      </w:pPr>
      <w:r>
        <w:t>Managed services</w:t>
      </w:r>
    </w:p>
    <w:p w:rsidR="00DD7A1A" w:rsidRDefault="00DD7A1A" w:rsidP="00BA54DC">
      <w:pPr>
        <w:numPr>
          <w:ilvl w:val="0"/>
          <w:numId w:val="19"/>
        </w:numPr>
        <w:spacing w:before="100" w:beforeAutospacing="1" w:after="100" w:afterAutospacing="1" w:line="240" w:lineRule="auto"/>
      </w:pPr>
      <w:proofErr w:type="spellStart"/>
      <w:r>
        <w:t>Toolhire</w:t>
      </w:r>
      <w:proofErr w:type="spellEnd"/>
      <w:r>
        <w:t xml:space="preserve"> expansion</w:t>
      </w:r>
    </w:p>
    <w:p w:rsidR="00DD7A1A" w:rsidRDefault="00DD7A1A" w:rsidP="00BA54DC">
      <w:pPr>
        <w:numPr>
          <w:ilvl w:val="0"/>
          <w:numId w:val="19"/>
        </w:numPr>
        <w:spacing w:before="100" w:beforeAutospacing="1" w:after="100" w:afterAutospacing="1" w:line="240" w:lineRule="auto"/>
      </w:pPr>
      <w:r>
        <w:t>Multi-channel investment</w:t>
      </w:r>
    </w:p>
    <w:p w:rsidR="00DD7A1A" w:rsidRDefault="00DD7A1A" w:rsidP="00BA54DC">
      <w:pPr>
        <w:numPr>
          <w:ilvl w:val="0"/>
          <w:numId w:val="19"/>
        </w:numPr>
        <w:spacing w:before="100" w:beforeAutospacing="1" w:after="100" w:afterAutospacing="1" w:line="240" w:lineRule="auto"/>
      </w:pPr>
      <w:r>
        <w:t>CRM development</w:t>
      </w:r>
    </w:p>
    <w:p w:rsidR="00DD7A1A" w:rsidRDefault="00DD7A1A" w:rsidP="00BA54DC">
      <w:pPr>
        <w:numPr>
          <w:ilvl w:val="0"/>
          <w:numId w:val="19"/>
        </w:numPr>
        <w:spacing w:before="100" w:beforeAutospacing="1" w:after="100" w:afterAutospacing="1" w:line="240" w:lineRule="auto"/>
      </w:pPr>
      <w:r>
        <w:t>Category &amp; pricing management</w:t>
      </w:r>
    </w:p>
    <w:p w:rsidR="000A33FB" w:rsidRDefault="000A33FB" w:rsidP="000A33FB">
      <w:pPr>
        <w:pStyle w:val="Heading4"/>
      </w:pPr>
      <w:r>
        <w:t xml:space="preserve">Plumbing &amp; </w:t>
      </w:r>
      <w:r w:rsidRPr="000A33FB">
        <w:t>Heating</w:t>
      </w:r>
    </w:p>
    <w:p w:rsidR="000A33FB" w:rsidRDefault="000A33FB" w:rsidP="000A33FB">
      <w:pPr>
        <w:pStyle w:val="NormalWeb"/>
      </w:pPr>
      <w:r>
        <w:rPr>
          <w:noProof/>
        </w:rPr>
        <w:drawing>
          <wp:inline distT="0" distB="0" distL="0" distR="0" wp14:anchorId="593E2F45" wp14:editId="41A8622D">
            <wp:extent cx="4031615" cy="668020"/>
            <wp:effectExtent l="0" t="0" r="6985" b="0"/>
            <wp:docPr id="3" name="Picture 3" descr="Our growth plumbing and 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growth plumbing and heat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1615" cy="668020"/>
                    </a:xfrm>
                    <a:prstGeom prst="rect">
                      <a:avLst/>
                    </a:prstGeom>
                    <a:noFill/>
                    <a:ln>
                      <a:noFill/>
                    </a:ln>
                  </pic:spPr>
                </pic:pic>
              </a:graphicData>
            </a:graphic>
          </wp:inline>
        </w:drawing>
      </w:r>
    </w:p>
    <w:p w:rsidR="000A33FB" w:rsidRDefault="000A33FB" w:rsidP="00BA54DC">
      <w:pPr>
        <w:numPr>
          <w:ilvl w:val="0"/>
          <w:numId w:val="20"/>
        </w:numPr>
        <w:spacing w:before="100" w:beforeAutospacing="1" w:after="100" w:afterAutospacing="1" w:line="240" w:lineRule="auto"/>
      </w:pPr>
      <w:r>
        <w:t>CPS expansion</w:t>
      </w:r>
    </w:p>
    <w:p w:rsidR="000A33FB" w:rsidRDefault="000A33FB" w:rsidP="00BA54DC">
      <w:pPr>
        <w:numPr>
          <w:ilvl w:val="0"/>
          <w:numId w:val="20"/>
        </w:numPr>
        <w:spacing w:before="100" w:beforeAutospacing="1" w:after="100" w:afterAutospacing="1" w:line="240" w:lineRule="auto"/>
      </w:pPr>
      <w:r>
        <w:t>Network coordination</w:t>
      </w:r>
    </w:p>
    <w:p w:rsidR="000A33FB" w:rsidRDefault="000A33FB" w:rsidP="00BA54DC">
      <w:pPr>
        <w:numPr>
          <w:ilvl w:val="0"/>
          <w:numId w:val="20"/>
        </w:numPr>
        <w:spacing w:before="100" w:beforeAutospacing="1" w:after="100" w:afterAutospacing="1" w:line="240" w:lineRule="auto"/>
      </w:pPr>
      <w:r>
        <w:t>Spares &amp; showroom rollout</w:t>
      </w:r>
    </w:p>
    <w:p w:rsidR="000A33FB" w:rsidRDefault="000A33FB" w:rsidP="00BA54DC">
      <w:pPr>
        <w:numPr>
          <w:ilvl w:val="0"/>
          <w:numId w:val="20"/>
        </w:numPr>
        <w:spacing w:before="100" w:beforeAutospacing="1" w:after="100" w:afterAutospacing="1" w:line="240" w:lineRule="auto"/>
      </w:pPr>
      <w:r>
        <w:t>Supply chain efficiency</w:t>
      </w:r>
    </w:p>
    <w:p w:rsidR="000A33FB" w:rsidRDefault="000A33FB" w:rsidP="00BA54DC">
      <w:pPr>
        <w:numPr>
          <w:ilvl w:val="0"/>
          <w:numId w:val="20"/>
        </w:numPr>
        <w:spacing w:before="100" w:beforeAutospacing="1" w:after="100" w:afterAutospacing="1" w:line="240" w:lineRule="auto"/>
      </w:pPr>
      <w:r>
        <w:t>Multi-channel</w:t>
      </w:r>
    </w:p>
    <w:p w:rsidR="000A33FB" w:rsidRDefault="000A33FB" w:rsidP="00BA54DC">
      <w:pPr>
        <w:numPr>
          <w:ilvl w:val="0"/>
          <w:numId w:val="20"/>
        </w:numPr>
        <w:spacing w:before="100" w:beforeAutospacing="1" w:after="100" w:afterAutospacing="1" w:line="240" w:lineRule="auto"/>
      </w:pPr>
      <w:r>
        <w:t>Pricing management</w:t>
      </w:r>
    </w:p>
    <w:p w:rsidR="000A33FB" w:rsidRDefault="000A33FB" w:rsidP="000A33FB">
      <w:pPr>
        <w:pStyle w:val="Heading4"/>
      </w:pPr>
      <w:r>
        <w:t>Contracts</w:t>
      </w:r>
    </w:p>
    <w:p w:rsidR="000A33FB" w:rsidRDefault="000A33FB" w:rsidP="000A33FB">
      <w:r>
        <w:rPr>
          <w:noProof/>
          <w:lang w:eastAsia="en-GB"/>
        </w:rPr>
        <w:drawing>
          <wp:inline distT="0" distB="0" distL="0" distR="0" wp14:anchorId="73CB38B4" wp14:editId="564B41DB">
            <wp:extent cx="3625850" cy="604520"/>
            <wp:effectExtent l="0" t="0" r="0" b="5080"/>
            <wp:docPr id="4" name="Picture 4" descr="Our growth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 growth contract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25850" cy="604520"/>
                    </a:xfrm>
                    <a:prstGeom prst="rect">
                      <a:avLst/>
                    </a:prstGeom>
                    <a:noFill/>
                    <a:ln>
                      <a:noFill/>
                    </a:ln>
                  </pic:spPr>
                </pic:pic>
              </a:graphicData>
            </a:graphic>
          </wp:inline>
        </w:drawing>
      </w:r>
    </w:p>
    <w:p w:rsidR="000A33FB" w:rsidRDefault="000A33FB" w:rsidP="00BA54DC">
      <w:pPr>
        <w:numPr>
          <w:ilvl w:val="0"/>
          <w:numId w:val="21"/>
        </w:numPr>
        <w:spacing w:before="100" w:beforeAutospacing="1" w:after="100" w:afterAutospacing="1" w:line="240" w:lineRule="auto"/>
      </w:pPr>
      <w:r>
        <w:t xml:space="preserve">Deeper category management </w:t>
      </w:r>
    </w:p>
    <w:p w:rsidR="000A33FB" w:rsidRDefault="000A33FB" w:rsidP="00BA54DC">
      <w:pPr>
        <w:numPr>
          <w:ilvl w:val="1"/>
          <w:numId w:val="21"/>
        </w:numPr>
        <w:spacing w:before="100" w:beforeAutospacing="1" w:after="100" w:afterAutospacing="1" w:line="240" w:lineRule="auto"/>
      </w:pPr>
      <w:r>
        <w:t>Insulation</w:t>
      </w:r>
    </w:p>
    <w:p w:rsidR="000A33FB" w:rsidRDefault="000A33FB" w:rsidP="00BA54DC">
      <w:pPr>
        <w:numPr>
          <w:ilvl w:val="1"/>
          <w:numId w:val="21"/>
        </w:numPr>
        <w:spacing w:before="100" w:beforeAutospacing="1" w:after="100" w:afterAutospacing="1" w:line="240" w:lineRule="auto"/>
      </w:pPr>
      <w:r>
        <w:t>Partitions</w:t>
      </w:r>
    </w:p>
    <w:p w:rsidR="000A33FB" w:rsidRDefault="000A33FB" w:rsidP="00BA54DC">
      <w:pPr>
        <w:numPr>
          <w:ilvl w:val="1"/>
          <w:numId w:val="21"/>
        </w:numPr>
        <w:spacing w:before="100" w:beforeAutospacing="1" w:after="100" w:afterAutospacing="1" w:line="240" w:lineRule="auto"/>
      </w:pPr>
      <w:r>
        <w:t>Industrial</w:t>
      </w:r>
    </w:p>
    <w:p w:rsidR="000A33FB" w:rsidRDefault="000A33FB" w:rsidP="00BA54DC">
      <w:pPr>
        <w:numPr>
          <w:ilvl w:val="1"/>
          <w:numId w:val="21"/>
        </w:numPr>
        <w:spacing w:before="100" w:beforeAutospacing="1" w:after="100" w:afterAutospacing="1" w:line="240" w:lineRule="auto"/>
      </w:pPr>
      <w:r>
        <w:t>Civils</w:t>
      </w:r>
    </w:p>
    <w:p w:rsidR="000A33FB" w:rsidRDefault="000A33FB" w:rsidP="00BA54DC">
      <w:pPr>
        <w:numPr>
          <w:ilvl w:val="0"/>
          <w:numId w:val="21"/>
        </w:numPr>
        <w:spacing w:before="100" w:beforeAutospacing="1" w:after="100" w:afterAutospacing="1" w:line="240" w:lineRule="auto"/>
      </w:pPr>
      <w:r>
        <w:t>Multi-channel development</w:t>
      </w:r>
    </w:p>
    <w:p w:rsidR="000A33FB" w:rsidRDefault="000A33FB" w:rsidP="00BA54DC">
      <w:pPr>
        <w:numPr>
          <w:ilvl w:val="0"/>
          <w:numId w:val="21"/>
        </w:numPr>
        <w:spacing w:before="100" w:beforeAutospacing="1" w:after="100" w:afterAutospacing="1" w:line="240" w:lineRule="auto"/>
      </w:pPr>
      <w:r>
        <w:t>Network growth</w:t>
      </w:r>
    </w:p>
    <w:p w:rsidR="000A33FB" w:rsidRDefault="000A33FB" w:rsidP="00BA54DC">
      <w:pPr>
        <w:numPr>
          <w:ilvl w:val="0"/>
          <w:numId w:val="21"/>
        </w:numPr>
        <w:spacing w:before="100" w:beforeAutospacing="1" w:after="100" w:afterAutospacing="1" w:line="240" w:lineRule="auto"/>
      </w:pPr>
      <w:r>
        <w:t>Contract pricing</w:t>
      </w:r>
    </w:p>
    <w:p w:rsidR="000A33FB" w:rsidRDefault="000A33FB" w:rsidP="000A33FB">
      <w:pPr>
        <w:pStyle w:val="Heading4"/>
      </w:pPr>
      <w:r>
        <w:t>Consumer</w:t>
      </w:r>
    </w:p>
    <w:p w:rsidR="000A33FB" w:rsidRDefault="000A33FB" w:rsidP="000A33FB">
      <w:r>
        <w:rPr>
          <w:noProof/>
          <w:lang w:eastAsia="en-GB"/>
        </w:rPr>
        <w:drawing>
          <wp:inline distT="0" distB="0" distL="0" distR="0" wp14:anchorId="202A6120" wp14:editId="14DCD80D">
            <wp:extent cx="4158615" cy="532765"/>
            <wp:effectExtent l="0" t="0" r="0" b="635"/>
            <wp:docPr id="6" name="Picture 6" descr="Our growth cons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r growth consum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8615" cy="532765"/>
                    </a:xfrm>
                    <a:prstGeom prst="rect">
                      <a:avLst/>
                    </a:prstGeom>
                    <a:noFill/>
                    <a:ln>
                      <a:noFill/>
                    </a:ln>
                  </pic:spPr>
                </pic:pic>
              </a:graphicData>
            </a:graphic>
          </wp:inline>
        </w:drawing>
      </w:r>
    </w:p>
    <w:p w:rsidR="000A33FB" w:rsidRDefault="000A33FB" w:rsidP="00BA54DC">
      <w:pPr>
        <w:numPr>
          <w:ilvl w:val="0"/>
          <w:numId w:val="22"/>
        </w:numPr>
        <w:spacing w:before="100" w:beforeAutospacing="1" w:after="100" w:afterAutospacing="1" w:line="240" w:lineRule="auto"/>
      </w:pPr>
      <w:r>
        <w:t>Create national coverage</w:t>
      </w:r>
    </w:p>
    <w:p w:rsidR="000A33FB" w:rsidRDefault="000A33FB" w:rsidP="00BA54DC">
      <w:pPr>
        <w:numPr>
          <w:ilvl w:val="0"/>
          <w:numId w:val="22"/>
        </w:numPr>
        <w:spacing w:before="100" w:beforeAutospacing="1" w:after="100" w:afterAutospacing="1" w:line="240" w:lineRule="auto"/>
      </w:pPr>
      <w:r>
        <w:t>Reinvigorate Wickes proposition</w:t>
      </w:r>
    </w:p>
    <w:p w:rsidR="000A33FB" w:rsidRDefault="000A33FB" w:rsidP="00BA54DC">
      <w:pPr>
        <w:numPr>
          <w:ilvl w:val="0"/>
          <w:numId w:val="22"/>
        </w:numPr>
        <w:spacing w:before="100" w:beforeAutospacing="1" w:after="100" w:afterAutospacing="1" w:line="240" w:lineRule="auto"/>
      </w:pPr>
      <w:proofErr w:type="spellStart"/>
      <w:r>
        <w:t>Toolstation</w:t>
      </w:r>
      <w:proofErr w:type="spellEnd"/>
      <w:r>
        <w:t xml:space="preserve"> expansion</w:t>
      </w:r>
    </w:p>
    <w:p w:rsidR="000A33FB" w:rsidRDefault="000A33FB" w:rsidP="00BA54DC">
      <w:pPr>
        <w:numPr>
          <w:ilvl w:val="0"/>
          <w:numId w:val="22"/>
        </w:numPr>
        <w:spacing w:before="100" w:beforeAutospacing="1" w:after="100" w:afterAutospacing="1" w:line="240" w:lineRule="auto"/>
      </w:pPr>
      <w:r>
        <w:t xml:space="preserve">Intensified use of Wickes space: </w:t>
      </w:r>
    </w:p>
    <w:p w:rsidR="000A33FB" w:rsidRDefault="000A33FB" w:rsidP="00BA54DC">
      <w:pPr>
        <w:numPr>
          <w:ilvl w:val="1"/>
          <w:numId w:val="22"/>
        </w:numPr>
        <w:spacing w:before="100" w:beforeAutospacing="1" w:after="100" w:afterAutospacing="1" w:line="240" w:lineRule="auto"/>
      </w:pPr>
      <w:proofErr w:type="spellStart"/>
      <w:r>
        <w:t>Toolstation</w:t>
      </w:r>
      <w:proofErr w:type="spellEnd"/>
    </w:p>
    <w:p w:rsidR="000A33FB" w:rsidRDefault="000A33FB" w:rsidP="00BA54DC">
      <w:pPr>
        <w:numPr>
          <w:ilvl w:val="1"/>
          <w:numId w:val="22"/>
        </w:numPr>
        <w:spacing w:before="100" w:beforeAutospacing="1" w:after="100" w:afterAutospacing="1" w:line="240" w:lineRule="auto"/>
      </w:pPr>
      <w:r>
        <w:t>Tile Giant</w:t>
      </w:r>
    </w:p>
    <w:p w:rsidR="00731009" w:rsidRDefault="00731009" w:rsidP="00731009"/>
    <w:p w:rsidR="00006B13" w:rsidRDefault="00006B13" w:rsidP="00006B13">
      <w:pPr>
        <w:pStyle w:val="Heading2"/>
      </w:pPr>
      <w:bookmarkStart w:id="20" w:name="_Toc426376597"/>
      <w:r>
        <w:t>Saint-Gobain</w:t>
      </w:r>
      <w:r w:rsidR="002C68E1">
        <w:t xml:space="preserve"> (Saint-Gobain Group)</w:t>
      </w:r>
      <w:bookmarkEnd w:id="20"/>
    </w:p>
    <w:p w:rsidR="002C68E1" w:rsidRDefault="002C68E1" w:rsidP="002C68E1">
      <w:pPr>
        <w:pStyle w:val="Heading3"/>
      </w:pPr>
      <w:bookmarkStart w:id="21" w:name="_Toc426376598"/>
      <w:r>
        <w:t>Strategy</w:t>
      </w:r>
      <w:bookmarkEnd w:id="21"/>
    </w:p>
    <w:p w:rsidR="002C68E1" w:rsidRDefault="002C68E1" w:rsidP="002C68E1">
      <w:r>
        <w:t>Saint-Gobain, the worldwide leader in sustainable habitat solutions, designs, manufactures and distributes building materials and high-performance materials, providing innovative solutions to the challenges of growth, energy efficiency and environmental protection.</w:t>
      </w:r>
    </w:p>
    <w:p w:rsidR="002C68E1" w:rsidRDefault="002C68E1" w:rsidP="002C68E1">
      <w:pPr>
        <w:pStyle w:val="Heading4"/>
      </w:pPr>
      <w:r>
        <w:t>Improving our habitat and our everyday life</w:t>
      </w:r>
    </w:p>
    <w:p w:rsidR="002C68E1" w:rsidRPr="002C68E1" w:rsidRDefault="002C68E1" w:rsidP="00BA54DC">
      <w:pPr>
        <w:pStyle w:val="ListParagraph"/>
        <w:numPr>
          <w:ilvl w:val="0"/>
          <w:numId w:val="7"/>
        </w:numPr>
        <w:rPr>
          <w:b/>
        </w:rPr>
      </w:pPr>
      <w:r w:rsidRPr="002C68E1">
        <w:rPr>
          <w:b/>
        </w:rPr>
        <w:t>Sustainable construction</w:t>
      </w:r>
    </w:p>
    <w:p w:rsidR="002C68E1" w:rsidRDefault="002C68E1" w:rsidP="002C68E1">
      <w:pPr>
        <w:spacing w:before="100" w:beforeAutospacing="1" w:after="100" w:afterAutospacing="1" w:line="240" w:lineRule="auto"/>
        <w:ind w:left="720"/>
      </w:pPr>
      <w:r>
        <w:t>Saint-Gobain has made the strategic decision to become the reference in</w:t>
      </w:r>
      <w:r>
        <w:rPr>
          <w:rStyle w:val="Strong"/>
        </w:rPr>
        <w:t xml:space="preserve"> sustainable habitat</w:t>
      </w:r>
      <w:r>
        <w:t xml:space="preserve"> and construction markets. Taking a long-term view, the Group develops products and services for its customers that facilitate sustainable construction. In this way, it designs innovative, high-performance solutions that improve habitat and everyday life.</w:t>
      </w:r>
    </w:p>
    <w:p w:rsidR="002C68E1" w:rsidRPr="002C68E1" w:rsidRDefault="002C68E1" w:rsidP="00BA54DC">
      <w:pPr>
        <w:pStyle w:val="ListParagraph"/>
        <w:numPr>
          <w:ilvl w:val="0"/>
          <w:numId w:val="6"/>
        </w:numPr>
        <w:rPr>
          <w:b/>
          <w:lang w:eastAsia="en-GB"/>
        </w:rPr>
      </w:pPr>
      <w:r w:rsidRPr="002C68E1">
        <w:rPr>
          <w:b/>
          <w:lang w:eastAsia="en-GB"/>
        </w:rPr>
        <w:t>An international challenge</w:t>
      </w:r>
    </w:p>
    <w:p w:rsidR="002C68E1" w:rsidRPr="002C68E1" w:rsidRDefault="002C68E1" w:rsidP="002C68E1">
      <w:pPr>
        <w:ind w:left="720"/>
        <w:rPr>
          <w:lang w:eastAsia="en-GB"/>
        </w:rPr>
      </w:pPr>
      <w:r w:rsidRPr="002C68E1">
        <w:rPr>
          <w:lang w:eastAsia="en-GB"/>
        </w:rPr>
        <w:t>Investing in habitat solutions is one of the</w:t>
      </w:r>
      <w:r w:rsidRPr="002C68E1">
        <w:rPr>
          <w:b/>
          <w:bCs/>
          <w:lang w:eastAsia="en-GB"/>
        </w:rPr>
        <w:t xml:space="preserve"> major challenges</w:t>
      </w:r>
      <w:r w:rsidRPr="002C68E1">
        <w:rPr>
          <w:lang w:eastAsia="en-GB"/>
        </w:rPr>
        <w:t xml:space="preserve"> facing both the most mature economies and fast-growing economies. Governments around the world are adopting policies designed to improve housing and working conditions and to </w:t>
      </w:r>
      <w:r w:rsidRPr="002C68E1">
        <w:rPr>
          <w:b/>
          <w:bCs/>
          <w:lang w:eastAsia="en-GB"/>
        </w:rPr>
        <w:t>reduce energy consumption</w:t>
      </w:r>
      <w:r w:rsidRPr="002C68E1">
        <w:rPr>
          <w:lang w:eastAsia="en-GB"/>
        </w:rPr>
        <w:t xml:space="preserve"> in the building sector in the face of accelerating global warming and diminishing natural resources.</w:t>
      </w:r>
    </w:p>
    <w:p w:rsidR="002C68E1" w:rsidRPr="002C68E1" w:rsidRDefault="002C68E1" w:rsidP="00BA54DC">
      <w:pPr>
        <w:pStyle w:val="ListParagraph"/>
        <w:numPr>
          <w:ilvl w:val="0"/>
          <w:numId w:val="6"/>
        </w:numPr>
        <w:rPr>
          <w:b/>
          <w:lang w:eastAsia="en-GB"/>
        </w:rPr>
      </w:pPr>
      <w:r w:rsidRPr="002C68E1">
        <w:rPr>
          <w:b/>
          <w:lang w:eastAsia="en-GB"/>
        </w:rPr>
        <w:t>A market in motion</w:t>
      </w:r>
    </w:p>
    <w:p w:rsidR="002C68E1" w:rsidRPr="002C68E1" w:rsidRDefault="002C68E1" w:rsidP="002C68E1">
      <w:pPr>
        <w:ind w:left="720"/>
        <w:rPr>
          <w:lang w:eastAsia="en-GB"/>
        </w:rPr>
      </w:pPr>
      <w:r w:rsidRPr="002C68E1">
        <w:rPr>
          <w:lang w:eastAsia="en-GB"/>
        </w:rPr>
        <w:t xml:space="preserve">At the same time, faster </w:t>
      </w:r>
      <w:r w:rsidRPr="002C68E1">
        <w:rPr>
          <w:b/>
          <w:bCs/>
          <w:lang w:eastAsia="en-GB"/>
        </w:rPr>
        <w:t>technological innovation</w:t>
      </w:r>
      <w:r w:rsidRPr="002C68E1">
        <w:rPr>
          <w:lang w:eastAsia="en-GB"/>
        </w:rPr>
        <w:t xml:space="preserve"> in the construction industry is helping to drive significant advances in the architectural quality and environmental performance of buildings. </w:t>
      </w:r>
    </w:p>
    <w:p w:rsidR="002C68E1" w:rsidRPr="002C68E1" w:rsidRDefault="002C68E1" w:rsidP="002C68E1">
      <w:pPr>
        <w:ind w:left="720"/>
        <w:rPr>
          <w:lang w:eastAsia="en-GB"/>
        </w:rPr>
      </w:pPr>
      <w:r w:rsidRPr="002C68E1">
        <w:rPr>
          <w:lang w:eastAsia="en-GB"/>
        </w:rPr>
        <w:t xml:space="preserve">The development of building techniques and the significant expansion of the Internet have led to a growing demand among </w:t>
      </w:r>
      <w:r w:rsidRPr="002C68E1">
        <w:rPr>
          <w:b/>
          <w:bCs/>
          <w:lang w:eastAsia="en-GB"/>
        </w:rPr>
        <w:t>craftspeople</w:t>
      </w:r>
      <w:r w:rsidRPr="002C68E1">
        <w:rPr>
          <w:lang w:eastAsia="en-GB"/>
        </w:rPr>
        <w:t xml:space="preserve"> for ever-more efficient and innovative distribution solutions. </w:t>
      </w:r>
    </w:p>
    <w:p w:rsidR="002C68E1" w:rsidRPr="002C68E1" w:rsidRDefault="002C68E1" w:rsidP="002C68E1">
      <w:pPr>
        <w:ind w:left="720"/>
        <w:rPr>
          <w:lang w:eastAsia="en-GB"/>
        </w:rPr>
      </w:pPr>
      <w:r w:rsidRPr="002C68E1">
        <w:rPr>
          <w:lang w:eastAsia="en-GB"/>
        </w:rPr>
        <w:t xml:space="preserve">These underlying trends create substantial opportunities for Saint-Gobain to develop </w:t>
      </w:r>
      <w:r w:rsidRPr="002C68E1">
        <w:rPr>
          <w:b/>
          <w:bCs/>
          <w:lang w:eastAsia="en-GB"/>
        </w:rPr>
        <w:t>high value-added construction and renovation solutions</w:t>
      </w:r>
      <w:r w:rsidRPr="002C68E1">
        <w:rPr>
          <w:lang w:eastAsia="en-GB"/>
        </w:rPr>
        <w:t xml:space="preserve"> for professional customers to ensure that buildings are energy efficient, comfortable, healthy and </w:t>
      </w:r>
      <w:proofErr w:type="spellStart"/>
      <w:r w:rsidRPr="002C68E1">
        <w:rPr>
          <w:lang w:eastAsia="en-GB"/>
        </w:rPr>
        <w:t>esthetically</w:t>
      </w:r>
      <w:proofErr w:type="spellEnd"/>
      <w:r w:rsidRPr="002C68E1">
        <w:rPr>
          <w:lang w:eastAsia="en-GB"/>
        </w:rPr>
        <w:t xml:space="preserve"> superior, while at the same time protecting natural resources. </w:t>
      </w:r>
    </w:p>
    <w:p w:rsidR="002C68E1" w:rsidRPr="002C68E1" w:rsidRDefault="002C68E1" w:rsidP="002C68E1">
      <w:pPr>
        <w:ind w:left="720"/>
        <w:rPr>
          <w:lang w:eastAsia="en-GB"/>
        </w:rPr>
      </w:pPr>
      <w:r w:rsidRPr="002C68E1">
        <w:rPr>
          <w:b/>
          <w:bCs/>
          <w:lang w:eastAsia="en-GB"/>
        </w:rPr>
        <w:t>Habitat solutions represent over 80% of our end markets</w:t>
      </w:r>
    </w:p>
    <w:p w:rsidR="002C68E1" w:rsidRPr="002C68E1" w:rsidRDefault="002C68E1" w:rsidP="00BA54DC">
      <w:pPr>
        <w:pStyle w:val="ListParagraph"/>
        <w:numPr>
          <w:ilvl w:val="0"/>
          <w:numId w:val="6"/>
        </w:numPr>
        <w:rPr>
          <w:b/>
          <w:lang w:eastAsia="en-GB"/>
        </w:rPr>
      </w:pPr>
      <w:r w:rsidRPr="002C68E1">
        <w:rPr>
          <w:b/>
          <w:lang w:eastAsia="en-GB"/>
        </w:rPr>
        <w:t>Leading-edge High-Performance Materials</w:t>
      </w:r>
    </w:p>
    <w:p w:rsidR="002C68E1" w:rsidRPr="002C68E1" w:rsidRDefault="002C68E1" w:rsidP="002C68E1">
      <w:pPr>
        <w:ind w:left="720"/>
        <w:rPr>
          <w:lang w:eastAsia="en-GB"/>
        </w:rPr>
      </w:pPr>
      <w:r w:rsidRPr="002C68E1">
        <w:rPr>
          <w:lang w:eastAsia="en-GB"/>
        </w:rPr>
        <w:t>The High-Performance Materials Activity delivers high value-added solutions for very different, complex applications in construction, as well as in industry.</w:t>
      </w:r>
    </w:p>
    <w:p w:rsidR="002C68E1" w:rsidRPr="002C68E1" w:rsidRDefault="002C68E1" w:rsidP="002C68E1">
      <w:pPr>
        <w:ind w:left="720"/>
        <w:rPr>
          <w:lang w:eastAsia="en-GB"/>
        </w:rPr>
      </w:pPr>
      <w:r w:rsidRPr="002C68E1">
        <w:rPr>
          <w:lang w:eastAsia="en-GB"/>
        </w:rPr>
        <w:t xml:space="preserve">Its in-depth expertise in a range of technologies allows the Group to get the most out of the complementary nature of its three families of materials (ceramic materials, high-performance polymers and glass </w:t>
      </w:r>
      <w:proofErr w:type="spellStart"/>
      <w:r w:rsidRPr="002C68E1">
        <w:rPr>
          <w:lang w:eastAsia="en-GB"/>
        </w:rPr>
        <w:t>fiber</w:t>
      </w:r>
      <w:proofErr w:type="spellEnd"/>
      <w:r w:rsidRPr="002C68E1">
        <w:rPr>
          <w:lang w:eastAsia="en-GB"/>
        </w:rPr>
        <w:t xml:space="preserve"> yarn).</w:t>
      </w:r>
    </w:p>
    <w:p w:rsidR="002C68E1" w:rsidRDefault="002C68E1" w:rsidP="002C68E1">
      <w:pPr>
        <w:ind w:left="720"/>
        <w:rPr>
          <w:lang w:eastAsia="en-GB"/>
        </w:rPr>
      </w:pPr>
      <w:r w:rsidRPr="002C68E1">
        <w:rPr>
          <w:lang w:eastAsia="en-GB"/>
        </w:rPr>
        <w:t>As a result, Saint-Gobain can design solutions to meet its customers’ specific needs, often in industrial niches that are well suited to co-development strategies.</w:t>
      </w:r>
    </w:p>
    <w:p w:rsidR="002C68E1" w:rsidRDefault="002C68E1" w:rsidP="002C68E1">
      <w:pPr>
        <w:pStyle w:val="Heading4"/>
      </w:pPr>
      <w:r>
        <w:t>Ensuring a unique positioning</w:t>
      </w:r>
    </w:p>
    <w:p w:rsidR="002C68E1" w:rsidRPr="002C68E1" w:rsidRDefault="002C68E1" w:rsidP="002C68E1">
      <w:pPr>
        <w:rPr>
          <w:lang w:eastAsia="en-GB"/>
        </w:rPr>
      </w:pPr>
      <w:r w:rsidRPr="002C68E1">
        <w:rPr>
          <w:lang w:eastAsia="en-GB"/>
        </w:rPr>
        <w:t>Saint-Gobain is uniquely positioned, with complementary strategic focuses in building materials and high-performance materials technologies:</w:t>
      </w:r>
    </w:p>
    <w:p w:rsidR="002C68E1" w:rsidRPr="002C68E1" w:rsidRDefault="002C68E1" w:rsidP="00BA54DC">
      <w:pPr>
        <w:pStyle w:val="ListParagraph"/>
        <w:numPr>
          <w:ilvl w:val="0"/>
          <w:numId w:val="6"/>
        </w:numPr>
        <w:rPr>
          <w:lang w:eastAsia="en-GB"/>
        </w:rPr>
      </w:pPr>
      <w:r w:rsidRPr="002C68E1">
        <w:rPr>
          <w:lang w:eastAsia="en-GB"/>
        </w:rPr>
        <w:t xml:space="preserve">It is the </w:t>
      </w:r>
      <w:r w:rsidRPr="002C68E1">
        <w:rPr>
          <w:b/>
          <w:bCs/>
          <w:lang w:eastAsia="en-GB"/>
        </w:rPr>
        <w:t>worldwide or European leader</w:t>
      </w:r>
      <w:r w:rsidRPr="002C68E1">
        <w:rPr>
          <w:lang w:eastAsia="en-GB"/>
        </w:rPr>
        <w:t xml:space="preserve"> in all of its businesses, with local solutions tailored to the needs of each market.</w:t>
      </w:r>
    </w:p>
    <w:p w:rsidR="002C68E1" w:rsidRPr="002C68E1" w:rsidRDefault="002C68E1" w:rsidP="00BA54DC">
      <w:pPr>
        <w:pStyle w:val="ListParagraph"/>
        <w:numPr>
          <w:ilvl w:val="0"/>
          <w:numId w:val="6"/>
        </w:numPr>
        <w:rPr>
          <w:lang w:eastAsia="en-GB"/>
        </w:rPr>
      </w:pPr>
      <w:r w:rsidRPr="002C68E1">
        <w:rPr>
          <w:lang w:eastAsia="en-GB"/>
        </w:rPr>
        <w:t xml:space="preserve">It has an </w:t>
      </w:r>
      <w:r w:rsidRPr="002C68E1">
        <w:rPr>
          <w:b/>
          <w:bCs/>
          <w:lang w:eastAsia="en-GB"/>
        </w:rPr>
        <w:t>unrivalled portfolio</w:t>
      </w:r>
      <w:r w:rsidRPr="002C68E1">
        <w:rPr>
          <w:lang w:eastAsia="en-GB"/>
        </w:rPr>
        <w:t xml:space="preserve"> of energy efficiency products and solutions.</w:t>
      </w:r>
    </w:p>
    <w:p w:rsidR="002C68E1" w:rsidRPr="002C68E1" w:rsidRDefault="002C68E1" w:rsidP="00BA54DC">
      <w:pPr>
        <w:pStyle w:val="ListParagraph"/>
        <w:numPr>
          <w:ilvl w:val="0"/>
          <w:numId w:val="6"/>
        </w:numPr>
        <w:rPr>
          <w:lang w:eastAsia="en-GB"/>
        </w:rPr>
      </w:pPr>
      <w:r w:rsidRPr="002C68E1">
        <w:rPr>
          <w:lang w:eastAsia="en-GB"/>
        </w:rPr>
        <w:t>Its</w:t>
      </w:r>
      <w:r w:rsidRPr="002C68E1">
        <w:rPr>
          <w:b/>
          <w:bCs/>
          <w:lang w:eastAsia="en-GB"/>
        </w:rPr>
        <w:t xml:space="preserve"> deep understanding of building professionals' needs</w:t>
      </w:r>
      <w:r w:rsidRPr="002C68E1">
        <w:rPr>
          <w:lang w:eastAsia="en-GB"/>
        </w:rPr>
        <w:t>, acquired through daily contact with customers, makes it possible to adapt the Group’s solutions to highly specific market requirements. </w:t>
      </w:r>
    </w:p>
    <w:p w:rsidR="002C68E1" w:rsidRPr="002C68E1" w:rsidRDefault="002C68E1" w:rsidP="00BA54DC">
      <w:pPr>
        <w:pStyle w:val="ListParagraph"/>
        <w:numPr>
          <w:ilvl w:val="0"/>
          <w:numId w:val="6"/>
        </w:numPr>
        <w:rPr>
          <w:lang w:eastAsia="en-GB"/>
        </w:rPr>
      </w:pPr>
      <w:r w:rsidRPr="002C68E1">
        <w:rPr>
          <w:lang w:eastAsia="en-GB"/>
        </w:rPr>
        <w:t xml:space="preserve">It has </w:t>
      </w:r>
      <w:r w:rsidRPr="002C68E1">
        <w:rPr>
          <w:b/>
          <w:bCs/>
          <w:lang w:eastAsia="en-GB"/>
        </w:rPr>
        <w:t>outstanding potential for innovation</w:t>
      </w:r>
      <w:r w:rsidRPr="002C68E1">
        <w:rPr>
          <w:lang w:eastAsia="en-GB"/>
        </w:rPr>
        <w:t>, supported by unique industrial and distribution expertise and a commitment to materials research.</w:t>
      </w:r>
    </w:p>
    <w:p w:rsidR="002C68E1" w:rsidRPr="002C68E1" w:rsidRDefault="002C68E1" w:rsidP="00BA54DC">
      <w:pPr>
        <w:pStyle w:val="ListParagraph"/>
        <w:numPr>
          <w:ilvl w:val="0"/>
          <w:numId w:val="6"/>
        </w:numPr>
        <w:rPr>
          <w:lang w:eastAsia="en-GB"/>
        </w:rPr>
      </w:pPr>
      <w:r w:rsidRPr="002C68E1">
        <w:rPr>
          <w:lang w:eastAsia="en-GB"/>
        </w:rPr>
        <w:t xml:space="preserve">Its culture of </w:t>
      </w:r>
      <w:r w:rsidRPr="002C68E1">
        <w:rPr>
          <w:b/>
          <w:bCs/>
          <w:lang w:eastAsia="en-GB"/>
        </w:rPr>
        <w:t>operational excellence</w:t>
      </w:r>
      <w:r w:rsidRPr="002C68E1">
        <w:rPr>
          <w:lang w:eastAsia="en-GB"/>
        </w:rPr>
        <w:t xml:space="preserve"> gives the Group an underlying robustness and the ability to respond quickly to changes in the economic environment.</w:t>
      </w:r>
    </w:p>
    <w:p w:rsidR="002C68E1" w:rsidRPr="002C68E1" w:rsidRDefault="002C68E1" w:rsidP="00BA54DC">
      <w:pPr>
        <w:pStyle w:val="ListParagraph"/>
        <w:numPr>
          <w:ilvl w:val="0"/>
          <w:numId w:val="6"/>
        </w:numPr>
        <w:rPr>
          <w:lang w:eastAsia="en-GB"/>
        </w:rPr>
      </w:pPr>
      <w:r w:rsidRPr="002C68E1">
        <w:rPr>
          <w:lang w:eastAsia="en-GB"/>
        </w:rPr>
        <w:t xml:space="preserve">Its solid set of tested </w:t>
      </w:r>
      <w:r w:rsidRPr="002C68E1">
        <w:rPr>
          <w:b/>
          <w:bCs/>
          <w:lang w:eastAsia="en-GB"/>
        </w:rPr>
        <w:t>values</w:t>
      </w:r>
      <w:r w:rsidRPr="002C68E1">
        <w:rPr>
          <w:lang w:eastAsia="en-GB"/>
        </w:rPr>
        <w:t xml:space="preserve"> helps build lasting relations with all stakeholders, from customers and employees to suppliers, subcontractors, shareholders and the community.</w:t>
      </w:r>
    </w:p>
    <w:p w:rsidR="002C68E1" w:rsidRPr="002C68E1" w:rsidRDefault="002C68E1" w:rsidP="002C68E1">
      <w:pPr>
        <w:rPr>
          <w:lang w:eastAsia="en-GB"/>
        </w:rPr>
      </w:pPr>
      <w:r w:rsidRPr="002C68E1">
        <w:rPr>
          <w:lang w:eastAsia="en-GB"/>
        </w:rPr>
        <w:t>A manufacturing presence in 64 countries, representing 64 springboards for growth</w:t>
      </w:r>
    </w:p>
    <w:p w:rsidR="002C68E1" w:rsidRDefault="002C68E1" w:rsidP="002C68E1">
      <w:pPr>
        <w:pStyle w:val="Heading4"/>
      </w:pPr>
      <w:r>
        <w:t>One of the 100 most innovative companies in the world</w:t>
      </w:r>
    </w:p>
    <w:p w:rsidR="002C68E1" w:rsidRDefault="002C68E1" w:rsidP="002C68E1">
      <w:r>
        <w:t xml:space="preserve">Research and innovation are at the </w:t>
      </w:r>
      <w:proofErr w:type="spellStart"/>
      <w:r>
        <w:t>center</w:t>
      </w:r>
      <w:proofErr w:type="spellEnd"/>
      <w:r>
        <w:t xml:space="preserve"> of Saint-Gobain’s strategy and </w:t>
      </w:r>
      <w:r>
        <w:rPr>
          <w:rStyle w:val="Strong"/>
        </w:rPr>
        <w:t>Corporate Social Responsibility policy</w:t>
      </w:r>
      <w:r>
        <w:t>. The Group’s ongoing initiatives in this area are paying off; in 2014, Saint-Gobain ranked among Thomson Reuters’ Top 100 Global Innovator Companies for the fourth year in a row. </w:t>
      </w:r>
    </w:p>
    <w:p w:rsidR="002C68E1" w:rsidRDefault="002C68E1" w:rsidP="002C68E1">
      <w:r>
        <w:t xml:space="preserve">This is a responsibility for the Group’s teams, as well as a major </w:t>
      </w:r>
      <w:r>
        <w:rPr>
          <w:rStyle w:val="Strong"/>
        </w:rPr>
        <w:t>source of motivation</w:t>
      </w:r>
      <w:r>
        <w:t>. Through their innovations, the teams play a part in reducing the environmental impacts of buildings, processes and the development of new high-performance solutions.</w:t>
      </w:r>
    </w:p>
    <w:p w:rsidR="002C68E1" w:rsidRDefault="002C68E1" w:rsidP="002C68E1">
      <w:pPr>
        <w:pStyle w:val="Heading4"/>
      </w:pPr>
      <w:r>
        <w:t>A Group attuned to the markets</w:t>
      </w:r>
    </w:p>
    <w:p w:rsidR="002C68E1" w:rsidRPr="002C68E1" w:rsidRDefault="002C68E1" w:rsidP="002C68E1">
      <w:pPr>
        <w:rPr>
          <w:lang w:eastAsia="en-GB"/>
        </w:rPr>
      </w:pPr>
      <w:r w:rsidRPr="002C68E1">
        <w:rPr>
          <w:lang w:eastAsia="en-GB"/>
        </w:rPr>
        <w:t>Cross-business Habitat organizations present in 38 countries connect and coordinate the different Saint-Gobain Group brands with the aim of developing a shared, cross-functional range of habitat solutions.</w:t>
      </w:r>
    </w:p>
    <w:p w:rsidR="002C68E1" w:rsidRDefault="002C68E1" w:rsidP="002C68E1">
      <w:pPr>
        <w:rPr>
          <w:lang w:eastAsia="en-GB"/>
        </w:rPr>
      </w:pPr>
      <w:r w:rsidRPr="002C68E1">
        <w:rPr>
          <w:lang w:eastAsia="en-GB"/>
        </w:rPr>
        <w:t>These organizations foster dialogue among teams involved in research and marketing and help implement inter-Activity projects. The number of </w:t>
      </w:r>
      <w:r w:rsidRPr="002C68E1">
        <w:rPr>
          <w:b/>
          <w:bCs/>
          <w:lang w:eastAsia="en-GB"/>
        </w:rPr>
        <w:t>cross-business innovation projects</w:t>
      </w:r>
      <w:r w:rsidRPr="002C68E1">
        <w:rPr>
          <w:lang w:eastAsia="en-GB"/>
        </w:rPr>
        <w:t> is on the rise, strengthened by Saint-Gobain’s culture of partnership and co-development with customers and external partners. The Group also keeps a close eye on new markets through Nova External Venturing, a unit dedicated to external innovation and responsible for relations with start-ups. In addition, Saint-Gobain has numerous partnerships with scientific and academic institutions.</w:t>
      </w:r>
    </w:p>
    <w:p w:rsidR="002C68E1" w:rsidRDefault="002C68E1" w:rsidP="002C68E1">
      <w:pPr>
        <w:pStyle w:val="Heading4"/>
      </w:pPr>
      <w:r>
        <w:t>Developing Eco-Responsible Innovations</w:t>
      </w:r>
    </w:p>
    <w:p w:rsidR="002C68E1" w:rsidRPr="002C68E1" w:rsidRDefault="002C68E1" w:rsidP="002C68E1">
      <w:pPr>
        <w:rPr>
          <w:lang w:eastAsia="en-GB"/>
        </w:rPr>
      </w:pPr>
      <w:r w:rsidRPr="002C68E1">
        <w:rPr>
          <w:b/>
          <w:bCs/>
          <w:lang w:eastAsia="en-GB"/>
        </w:rPr>
        <w:t>Life cycle assessments</w:t>
      </w:r>
      <w:r w:rsidRPr="002C68E1">
        <w:rPr>
          <w:lang w:eastAsia="en-GB"/>
        </w:rPr>
        <w:t xml:space="preserve"> are conducted for all of Saint-Gobain’s building industry product families in order to measure their environmental footprint. The assessments enable Saint-Gobain to reduce the environmental impacts of its products while also creating value. A culture of eco-innovation is being extended to all of the Group’s businesses, in all its markets.</w:t>
      </w:r>
    </w:p>
    <w:p w:rsidR="002C68E1" w:rsidRPr="002C68E1" w:rsidRDefault="002C68E1" w:rsidP="002C68E1">
      <w:pPr>
        <w:rPr>
          <w:lang w:eastAsia="en-GB"/>
        </w:rPr>
      </w:pPr>
      <w:r w:rsidRPr="002C68E1">
        <w:rPr>
          <w:lang w:eastAsia="en-GB"/>
        </w:rPr>
        <w:t>The Group is also working on reducing the environmental footprint of its industrial processes. Similarly, special attention is paid to product recycling. Concerning the shipping of materials, Group researchers are using their skills to develop models for more efficient and environmentally friendly shipping processes.</w:t>
      </w:r>
    </w:p>
    <w:p w:rsidR="002C68E1" w:rsidRPr="002C68E1" w:rsidRDefault="002C68E1" w:rsidP="002C68E1">
      <w:pPr>
        <w:rPr>
          <w:lang w:eastAsia="en-GB"/>
        </w:rPr>
      </w:pPr>
      <w:r w:rsidRPr="002C68E1">
        <w:rPr>
          <w:b/>
          <w:bCs/>
          <w:lang w:eastAsia="en-GB"/>
        </w:rPr>
        <w:t>Devising products that significantly reduce the environmental impact of the buildings and infrastructure that use them</w:t>
      </w:r>
    </w:p>
    <w:p w:rsidR="002C68E1" w:rsidRPr="002C68E1" w:rsidRDefault="002C68E1" w:rsidP="002C68E1"/>
    <w:p w:rsidR="002C68E1" w:rsidRPr="002C68E1" w:rsidRDefault="002C68E1" w:rsidP="002C68E1">
      <w:pPr>
        <w:rPr>
          <w:lang w:eastAsia="en-GB"/>
        </w:rPr>
      </w:pPr>
    </w:p>
    <w:p w:rsidR="002C68E1" w:rsidRPr="002C68E1" w:rsidRDefault="002C68E1" w:rsidP="002C68E1"/>
    <w:p w:rsidR="002C68E1" w:rsidRPr="002C68E1" w:rsidRDefault="002C68E1" w:rsidP="002C68E1">
      <w:pPr>
        <w:rPr>
          <w:lang w:eastAsia="en-GB"/>
        </w:rPr>
      </w:pPr>
    </w:p>
    <w:p w:rsidR="002C68E1" w:rsidRDefault="002C68E1" w:rsidP="002C68E1">
      <w:pPr>
        <w:spacing w:before="100" w:beforeAutospacing="1" w:after="100" w:afterAutospacing="1" w:line="240" w:lineRule="auto"/>
        <w:ind w:left="360"/>
      </w:pPr>
    </w:p>
    <w:p w:rsidR="002C68E1" w:rsidRPr="002C68E1" w:rsidRDefault="002C68E1" w:rsidP="002C68E1"/>
    <w:p w:rsidR="002C68E1" w:rsidRPr="002C68E1" w:rsidRDefault="002C68E1" w:rsidP="002C68E1"/>
    <w:p w:rsidR="00006B13" w:rsidRDefault="00006B13" w:rsidP="00006B13">
      <w:pPr>
        <w:pStyle w:val="Heading2"/>
      </w:pPr>
      <w:bookmarkStart w:id="22" w:name="_Toc426376599"/>
      <w:r>
        <w:t xml:space="preserve">Grafton </w:t>
      </w:r>
      <w:proofErr w:type="spellStart"/>
      <w:r>
        <w:t>Merchanting</w:t>
      </w:r>
      <w:proofErr w:type="spellEnd"/>
      <w:r>
        <w:t xml:space="preserve"> GB (Grafton Group plc)</w:t>
      </w:r>
      <w:bookmarkEnd w:id="22"/>
    </w:p>
    <w:p w:rsidR="00006B13" w:rsidRDefault="00006B13" w:rsidP="00006B13">
      <w:pPr>
        <w:pStyle w:val="Heading3"/>
        <w:rPr>
          <w:noProof/>
          <w:lang w:eastAsia="en-GB"/>
        </w:rPr>
      </w:pPr>
      <w:bookmarkStart w:id="23" w:name="_Toc426376600"/>
      <w:r>
        <w:rPr>
          <w:noProof/>
          <w:lang w:eastAsia="en-GB"/>
        </w:rPr>
        <w:t>Strategy</w:t>
      </w:r>
      <w:bookmarkEnd w:id="23"/>
    </w:p>
    <w:p w:rsidR="00006B13" w:rsidRDefault="00006B13" w:rsidP="00006B13">
      <w:r>
        <w:t>Grafton’s strategy is to be an international trade supplier of construction products and related activities, built on service, supported by a strong financial base and operated within a framework of high business ethics and integrity and recognised by investors as a progressive, cash-generative business.</w:t>
      </w:r>
    </w:p>
    <w:p w:rsidR="00CC761F" w:rsidRDefault="00CC761F" w:rsidP="00CC761F">
      <w:pPr>
        <w:pStyle w:val="Heading3"/>
      </w:pPr>
      <w:bookmarkStart w:id="24" w:name="_Toc426376601"/>
      <w:r>
        <w:t>Key Objectives</w:t>
      </w:r>
      <w:bookmarkEnd w:id="24"/>
    </w:p>
    <w:p w:rsidR="00CC761F" w:rsidRDefault="00CC761F" w:rsidP="00CC761F">
      <w:r>
        <w:t>The Group's key objectives are:</w:t>
      </w:r>
    </w:p>
    <w:p w:rsidR="00CC761F" w:rsidRDefault="00CC761F" w:rsidP="00BA54DC">
      <w:pPr>
        <w:numPr>
          <w:ilvl w:val="0"/>
          <w:numId w:val="4"/>
        </w:numPr>
        <w:spacing w:before="100" w:beforeAutospacing="1" w:after="100" w:afterAutospacing="1" w:line="240" w:lineRule="auto"/>
      </w:pPr>
      <w:r>
        <w:t>To generate above average long term shareholder returns.</w:t>
      </w:r>
    </w:p>
    <w:p w:rsidR="00CC761F" w:rsidRDefault="00CC761F" w:rsidP="00BA54DC">
      <w:pPr>
        <w:numPr>
          <w:ilvl w:val="0"/>
          <w:numId w:val="4"/>
        </w:numPr>
        <w:spacing w:before="100" w:beforeAutospacing="1" w:after="100" w:afterAutospacing="1" w:line="240" w:lineRule="auto"/>
      </w:pPr>
      <w:r>
        <w:t>To be the first choice supplier of its customers.</w:t>
      </w:r>
    </w:p>
    <w:p w:rsidR="00CC761F" w:rsidRDefault="00CC761F" w:rsidP="00BA54DC">
      <w:pPr>
        <w:numPr>
          <w:ilvl w:val="0"/>
          <w:numId w:val="4"/>
        </w:numPr>
        <w:spacing w:before="100" w:beforeAutospacing="1" w:after="100" w:afterAutospacing="1" w:line="240" w:lineRule="auto"/>
      </w:pPr>
      <w:r>
        <w:t>To improve cash generation and operating margins.</w:t>
      </w:r>
    </w:p>
    <w:p w:rsidR="00CC761F" w:rsidRDefault="00CC761F" w:rsidP="00BA54DC">
      <w:pPr>
        <w:numPr>
          <w:ilvl w:val="0"/>
          <w:numId w:val="4"/>
        </w:numPr>
        <w:spacing w:before="100" w:beforeAutospacing="1" w:after="100" w:afterAutospacing="1" w:line="240" w:lineRule="auto"/>
      </w:pPr>
      <w:r>
        <w:t>To maximise returns on capital employed from the existing branch network.</w:t>
      </w:r>
    </w:p>
    <w:p w:rsidR="00CC761F" w:rsidRDefault="00CC761F" w:rsidP="00BA54DC">
      <w:pPr>
        <w:numPr>
          <w:ilvl w:val="0"/>
          <w:numId w:val="4"/>
        </w:numPr>
        <w:spacing w:before="100" w:beforeAutospacing="1" w:after="100" w:afterAutospacing="1" w:line="240" w:lineRule="auto"/>
      </w:pPr>
      <w:r>
        <w:t>To increase market coverage where the Group is currently under represented.</w:t>
      </w:r>
    </w:p>
    <w:p w:rsidR="00CC761F" w:rsidRDefault="00CC761F" w:rsidP="00BA54DC">
      <w:pPr>
        <w:numPr>
          <w:ilvl w:val="0"/>
          <w:numId w:val="4"/>
        </w:numPr>
        <w:spacing w:before="100" w:beforeAutospacing="1" w:after="100" w:afterAutospacing="1" w:line="240" w:lineRule="auto"/>
      </w:pPr>
      <w:r>
        <w:t>To refine and develop the range of products and services offered.</w:t>
      </w:r>
    </w:p>
    <w:p w:rsidR="00CC761F" w:rsidRDefault="00CC761F" w:rsidP="00BA54DC">
      <w:pPr>
        <w:numPr>
          <w:ilvl w:val="0"/>
          <w:numId w:val="4"/>
        </w:numPr>
        <w:spacing w:before="100" w:beforeAutospacing="1" w:after="100" w:afterAutospacing="1" w:line="240" w:lineRule="auto"/>
      </w:pPr>
      <w:r>
        <w:t>To increase multi-channel supply capabilities.</w:t>
      </w:r>
    </w:p>
    <w:p w:rsidR="00CC761F" w:rsidRDefault="00CC761F" w:rsidP="00BA54DC">
      <w:pPr>
        <w:numPr>
          <w:ilvl w:val="0"/>
          <w:numId w:val="4"/>
        </w:numPr>
        <w:spacing w:before="100" w:beforeAutospacing="1" w:after="100" w:afterAutospacing="1" w:line="240" w:lineRule="auto"/>
      </w:pPr>
      <w:r>
        <w:t xml:space="preserve">To develop beyond the UK, Ireland and Belgium in </w:t>
      </w:r>
      <w:proofErr w:type="spellStart"/>
      <w:r>
        <w:t>merchanting</w:t>
      </w:r>
      <w:proofErr w:type="spellEnd"/>
      <w:r>
        <w:t xml:space="preserve"> and related markets where opportunities exist to: </w:t>
      </w:r>
    </w:p>
    <w:p w:rsidR="00CC761F" w:rsidRDefault="00CC761F" w:rsidP="00BA54DC">
      <w:pPr>
        <w:numPr>
          <w:ilvl w:val="1"/>
          <w:numId w:val="4"/>
        </w:numPr>
        <w:spacing w:before="100" w:beforeAutospacing="1" w:after="100" w:afterAutospacing="1" w:line="240" w:lineRule="auto"/>
      </w:pPr>
      <w:r>
        <w:t>Achieve good returns on capital invested;</w:t>
      </w:r>
    </w:p>
    <w:p w:rsidR="00CC761F" w:rsidRDefault="00CC761F" w:rsidP="00BA54DC">
      <w:pPr>
        <w:numPr>
          <w:ilvl w:val="1"/>
          <w:numId w:val="4"/>
        </w:numPr>
        <w:spacing w:before="100" w:beforeAutospacing="1" w:after="100" w:afterAutospacing="1" w:line="240" w:lineRule="auto"/>
      </w:pPr>
      <w:r>
        <w:t>Achieve leading market positions; and</w:t>
      </w:r>
    </w:p>
    <w:p w:rsidR="00CC761F" w:rsidRDefault="00CC761F" w:rsidP="00BA54DC">
      <w:pPr>
        <w:numPr>
          <w:ilvl w:val="1"/>
          <w:numId w:val="4"/>
        </w:numPr>
        <w:spacing w:before="100" w:beforeAutospacing="1" w:after="100" w:afterAutospacing="1" w:line="240" w:lineRule="auto"/>
      </w:pPr>
      <w:r>
        <w:t>Where value can be added to familiar business models operating in unconsolidated markets</w:t>
      </w:r>
    </w:p>
    <w:p w:rsidR="00CC761F" w:rsidRDefault="00CC761F" w:rsidP="00CC761F">
      <w:pPr>
        <w:pStyle w:val="Heading3"/>
      </w:pPr>
      <w:bookmarkStart w:id="25" w:name="_Toc426376602"/>
      <w:r>
        <w:t>Key Strengths</w:t>
      </w:r>
      <w:bookmarkEnd w:id="25"/>
    </w:p>
    <w:p w:rsidR="00CC761F" w:rsidRDefault="00CC761F" w:rsidP="00CC761F">
      <w:r>
        <w:t>The Group's strategy is underpinned by key strengths that include:</w:t>
      </w:r>
    </w:p>
    <w:p w:rsidR="00CC761F" w:rsidRDefault="00CC761F" w:rsidP="00BA54DC">
      <w:pPr>
        <w:numPr>
          <w:ilvl w:val="0"/>
          <w:numId w:val="5"/>
        </w:numPr>
        <w:spacing w:before="100" w:beforeAutospacing="1" w:after="100" w:afterAutospacing="1" w:line="240" w:lineRule="auto"/>
      </w:pPr>
      <w:r>
        <w:t>A profit orientated growth philosophy.</w:t>
      </w:r>
    </w:p>
    <w:p w:rsidR="00CC761F" w:rsidRDefault="00CC761F" w:rsidP="00BA54DC">
      <w:pPr>
        <w:numPr>
          <w:ilvl w:val="0"/>
          <w:numId w:val="5"/>
        </w:numPr>
        <w:spacing w:before="100" w:beforeAutospacing="1" w:after="100" w:afterAutospacing="1" w:line="240" w:lineRule="auto"/>
      </w:pPr>
      <w:r>
        <w:t>A history of successful investment in acquisitions and organic developments.</w:t>
      </w:r>
    </w:p>
    <w:p w:rsidR="00CC761F" w:rsidRDefault="00CC761F" w:rsidP="00BA54DC">
      <w:pPr>
        <w:numPr>
          <w:ilvl w:val="0"/>
          <w:numId w:val="5"/>
        </w:numPr>
        <w:spacing w:before="100" w:beforeAutospacing="1" w:after="100" w:afterAutospacing="1" w:line="240" w:lineRule="auto"/>
      </w:pPr>
      <w:r>
        <w:t xml:space="preserve">Leading market positions and brands in each of the countries in which the Group operates. </w:t>
      </w:r>
    </w:p>
    <w:p w:rsidR="00CC761F" w:rsidRDefault="00CC761F" w:rsidP="00BA54DC">
      <w:pPr>
        <w:numPr>
          <w:ilvl w:val="0"/>
          <w:numId w:val="5"/>
        </w:numPr>
        <w:spacing w:before="100" w:beforeAutospacing="1" w:after="100" w:afterAutospacing="1" w:line="240" w:lineRule="auto"/>
      </w:pPr>
      <w:r>
        <w:t xml:space="preserve">Unique market positioning with scope to significantly develop the UK </w:t>
      </w:r>
      <w:proofErr w:type="spellStart"/>
      <w:r>
        <w:t>merchanting</w:t>
      </w:r>
      <w:proofErr w:type="spellEnd"/>
      <w:r>
        <w:t xml:space="preserve"> business through acquisition.</w:t>
      </w:r>
    </w:p>
    <w:p w:rsidR="00CC761F" w:rsidRDefault="00CC761F" w:rsidP="00BA54DC">
      <w:pPr>
        <w:numPr>
          <w:ilvl w:val="0"/>
          <w:numId w:val="5"/>
        </w:numPr>
        <w:spacing w:before="100" w:beforeAutospacing="1" w:after="100" w:afterAutospacing="1" w:line="240" w:lineRule="auto"/>
      </w:pPr>
      <w:r>
        <w:t>Highly experienced acquisition and integration skills.</w:t>
      </w:r>
    </w:p>
    <w:p w:rsidR="00CC761F" w:rsidRDefault="00CC761F" w:rsidP="00BA54DC">
      <w:pPr>
        <w:numPr>
          <w:ilvl w:val="0"/>
          <w:numId w:val="5"/>
        </w:numPr>
        <w:spacing w:before="100" w:beforeAutospacing="1" w:after="100" w:afterAutospacing="1" w:line="240" w:lineRule="auto"/>
      </w:pPr>
      <w:r>
        <w:t>A portfolio of highly cash generative and profitable businesses.</w:t>
      </w:r>
    </w:p>
    <w:p w:rsidR="00CC761F" w:rsidRDefault="00CC761F" w:rsidP="00BA54DC">
      <w:pPr>
        <w:numPr>
          <w:ilvl w:val="0"/>
          <w:numId w:val="5"/>
        </w:numPr>
        <w:spacing w:before="100" w:beforeAutospacing="1" w:after="100" w:afterAutospacing="1" w:line="240" w:lineRule="auto"/>
      </w:pPr>
      <w:r>
        <w:t>Strong and capable highly motivated management teams.</w:t>
      </w:r>
    </w:p>
    <w:p w:rsidR="00CC761F" w:rsidRDefault="00CC761F" w:rsidP="00BA54DC">
      <w:pPr>
        <w:numPr>
          <w:ilvl w:val="0"/>
          <w:numId w:val="5"/>
        </w:numPr>
        <w:spacing w:before="100" w:beforeAutospacing="1" w:after="100" w:afterAutospacing="1" w:line="240" w:lineRule="auto"/>
      </w:pPr>
      <w:r>
        <w:t xml:space="preserve">Innovative business development program. </w:t>
      </w:r>
    </w:p>
    <w:p w:rsidR="00CC761F" w:rsidRDefault="00CC761F" w:rsidP="00BA54DC">
      <w:pPr>
        <w:numPr>
          <w:ilvl w:val="0"/>
          <w:numId w:val="5"/>
        </w:numPr>
        <w:spacing w:before="100" w:beforeAutospacing="1" w:after="100" w:afterAutospacing="1" w:line="240" w:lineRule="auto"/>
      </w:pPr>
      <w:r>
        <w:t>Sound financial metrics including cash generation, low debt and a strong balance sheet and financial capacity.</w:t>
      </w:r>
    </w:p>
    <w:p w:rsidR="00006B13" w:rsidRDefault="00006B13" w:rsidP="00006B13">
      <w:pPr>
        <w:pStyle w:val="Heading2"/>
      </w:pPr>
      <w:bookmarkStart w:id="26" w:name="_Toc426376603"/>
      <w:r>
        <w:t>B &amp; Q. (Kingfisher)</w:t>
      </w:r>
      <w:bookmarkEnd w:id="26"/>
    </w:p>
    <w:p w:rsidR="00006B13" w:rsidRDefault="00006B13" w:rsidP="00006B13">
      <w:pPr>
        <w:pStyle w:val="Heading3"/>
      </w:pPr>
      <w:bookmarkStart w:id="27" w:name="_Toc426376604"/>
      <w:r>
        <w:t>Our strategy – Creating the Leader</w:t>
      </w:r>
      <w:bookmarkEnd w:id="27"/>
    </w:p>
    <w:p w:rsidR="00006B13" w:rsidRDefault="00006B13" w:rsidP="00006B13">
      <w:r>
        <w:t>Launched in March 2012, 'Creating the Leader' is the current phase of our growth plan, and follows the successful conclusion of 'Delivering Value'. It will see us emerge as a world-class retailer, helping customers have better, more sustainable homes.</w:t>
      </w:r>
    </w:p>
    <w:p w:rsidR="00006B13" w:rsidRDefault="00006B13" w:rsidP="00006B13">
      <w:pPr>
        <w:pStyle w:val="Heading3"/>
      </w:pPr>
      <w:bookmarkStart w:id="28" w:name="_Toc426376605"/>
      <w:r>
        <w:t>Purpose</w:t>
      </w:r>
      <w:bookmarkEnd w:id="28"/>
    </w:p>
    <w:p w:rsidR="00006B13" w:rsidRDefault="00006B13" w:rsidP="00006B13">
      <w:r>
        <w:t>Our purpose is to make it easier for customers to have better and more sustainable homes. This approach will unlock more customer demand and grow our business to the benefit of all our stakeholders, creating a more valuable business for our shareholders, a better partner for our suppliers, a more secure and brighter future for our colleagues and a more sustainable business for our local communities.</w:t>
      </w:r>
    </w:p>
    <w:p w:rsidR="00006B13" w:rsidRDefault="00006B13" w:rsidP="00006B13">
      <w:pPr>
        <w:pStyle w:val="Heading3"/>
      </w:pPr>
      <w:bookmarkStart w:id="29" w:name="_Toc426376606"/>
      <w:r>
        <w:t>Objectives</w:t>
      </w:r>
      <w:bookmarkEnd w:id="29"/>
    </w:p>
    <w:p w:rsidR="00006B13" w:rsidRDefault="00006B13" w:rsidP="00BA54DC">
      <w:pPr>
        <w:pStyle w:val="ListParagraph"/>
        <w:numPr>
          <w:ilvl w:val="0"/>
          <w:numId w:val="3"/>
        </w:numPr>
      </w:pPr>
      <w:r>
        <w:t>Making it easier for our customers to improve their home (Measure: LFL sales growth)</w:t>
      </w:r>
    </w:p>
    <w:p w:rsidR="00006B13" w:rsidRDefault="00006B13" w:rsidP="00BA54DC">
      <w:pPr>
        <w:pStyle w:val="ListParagraph"/>
        <w:numPr>
          <w:ilvl w:val="0"/>
          <w:numId w:val="3"/>
        </w:numPr>
      </w:pPr>
      <w:r>
        <w:t>Giving our customers more ways to shop (Measure: Unique web users)</w:t>
      </w:r>
    </w:p>
    <w:p w:rsidR="00006B13" w:rsidRDefault="00006B13" w:rsidP="00BA54DC">
      <w:pPr>
        <w:pStyle w:val="ListParagraph"/>
        <w:numPr>
          <w:ilvl w:val="0"/>
          <w:numId w:val="3"/>
        </w:numPr>
      </w:pPr>
      <w:r>
        <w:t>Building innovative common brands (Measure: 35% of Group sales direct sourced, 50% of all product sales to be common)</w:t>
      </w:r>
    </w:p>
    <w:p w:rsidR="00006B13" w:rsidRDefault="00006B13" w:rsidP="00BA54DC">
      <w:pPr>
        <w:pStyle w:val="ListParagraph"/>
        <w:numPr>
          <w:ilvl w:val="0"/>
          <w:numId w:val="3"/>
        </w:numPr>
      </w:pPr>
      <w:r>
        <w:t>Driving efficiency and effectiveness everywhere (Measure: Retail profit margin)</w:t>
      </w:r>
    </w:p>
    <w:p w:rsidR="00006B13" w:rsidRDefault="00006B13" w:rsidP="00BA54DC">
      <w:pPr>
        <w:pStyle w:val="ListParagraph"/>
        <w:numPr>
          <w:ilvl w:val="0"/>
          <w:numId w:val="3"/>
        </w:numPr>
      </w:pPr>
      <w:r>
        <w:t>Growing our presence in existing markets (Kingfisher Economic Profit (KEP)*)</w:t>
      </w:r>
    </w:p>
    <w:p w:rsidR="00006B13" w:rsidRDefault="00006B13" w:rsidP="00BA54DC">
      <w:pPr>
        <w:pStyle w:val="ListParagraph"/>
        <w:numPr>
          <w:ilvl w:val="0"/>
          <w:numId w:val="3"/>
        </w:numPr>
      </w:pPr>
      <w:r>
        <w:t>Expanding in new and developing markets (Kingfisher Economic Profit (KEP)*)</w:t>
      </w:r>
    </w:p>
    <w:p w:rsidR="00006B13" w:rsidRDefault="00006B13" w:rsidP="00BA54DC">
      <w:pPr>
        <w:pStyle w:val="ListParagraph"/>
        <w:numPr>
          <w:ilvl w:val="0"/>
          <w:numId w:val="3"/>
        </w:numPr>
      </w:pPr>
      <w:r>
        <w:t>Developing leaders and connecting people (Group employee engagement scores)</w:t>
      </w:r>
    </w:p>
    <w:p w:rsidR="00006B13" w:rsidRDefault="00006B13" w:rsidP="00BA54DC">
      <w:pPr>
        <w:pStyle w:val="ListParagraph"/>
        <w:numPr>
          <w:ilvl w:val="0"/>
          <w:numId w:val="3"/>
        </w:numPr>
      </w:pPr>
      <w:r>
        <w:t>Sustainability: becoming Net Positive (Net Positive dashboard)</w:t>
      </w:r>
    </w:p>
    <w:p w:rsidR="00006B13" w:rsidRDefault="00006B13" w:rsidP="00006B13">
      <w:pPr>
        <w:pStyle w:val="Heading3"/>
      </w:pPr>
      <w:bookmarkStart w:id="30" w:name="_Toc426376607"/>
      <w:r>
        <w:t>Financial benefits</w:t>
      </w:r>
      <w:bookmarkEnd w:id="30"/>
    </w:p>
    <w:p w:rsidR="00006B13" w:rsidRDefault="00006B13" w:rsidP="00006B13">
      <w:r>
        <w:t>Predicting the future retail profits benefits from this strategy, when we don’t know the economic conditions or competitive landscape we will face in the future is very difficult. However, whatever the conditions, we believe our efforts will drive higher LFL sales, higher gross margin and more cost efficiencies than would have been delivered without this programme.</w:t>
      </w:r>
    </w:p>
    <w:p w:rsidR="00006B13" w:rsidRDefault="00006B13" w:rsidP="00006B13">
      <w:r>
        <w:t>In 2011/12 we estimated that this would create an additional £300 million of annualised retail profit in the fifth year, net of price reinvestment and based on the size of the business and the market conditions at that time.</w:t>
      </w:r>
    </w:p>
    <w:p w:rsidR="00006B13" w:rsidRDefault="00006B13" w:rsidP="00006B13"/>
    <w:p w:rsidR="00006B13" w:rsidRDefault="00006B13" w:rsidP="00006B13"/>
    <w:p w:rsidR="00006B13" w:rsidRPr="00006B13" w:rsidRDefault="00006B13" w:rsidP="00006B13"/>
    <w:p w:rsidR="00006B13" w:rsidRPr="00006B13" w:rsidRDefault="00006B13" w:rsidP="00006B13"/>
    <w:sectPr w:rsidR="00006B13" w:rsidRPr="00006B13" w:rsidSect="002B3377">
      <w:footerReference w:type="default" r:id="rId3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F2" w:rsidRDefault="00FC21F2" w:rsidP="002B3377">
      <w:pPr>
        <w:spacing w:after="0" w:line="240" w:lineRule="auto"/>
      </w:pPr>
      <w:r>
        <w:separator/>
      </w:r>
    </w:p>
  </w:endnote>
  <w:endnote w:type="continuationSeparator" w:id="0">
    <w:p w:rsidR="00FC21F2" w:rsidRDefault="00FC21F2" w:rsidP="002B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4A" w:rsidRDefault="000E7B4A" w:rsidP="002B3377">
    <w:pPr>
      <w:pStyle w:val="Footer"/>
      <w:jc w:val="center"/>
    </w:pPr>
    <w:r w:rsidRPr="00D43B76">
      <w:rPr>
        <w:noProof/>
        <w:lang w:eastAsia="en-GB"/>
      </w:rPr>
      <w:drawing>
        <wp:inline distT="0" distB="0" distL="0" distR="0" wp14:anchorId="5405581B" wp14:editId="6C11DF98">
          <wp:extent cx="1095375" cy="4095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13322" name="Picture 10"/>
                  <pic:cNvPicPr>
                    <a:picLocks noChangeAspect="1" noChangeArrowheads="1"/>
                  </pic:cNvPicPr>
                </pic:nvPicPr>
                <pic:blipFill>
                  <a:blip r:embed="rId1" cstate="print"/>
                  <a:srcRect/>
                  <a:stretch>
                    <a:fillRect/>
                  </a:stretch>
                </pic:blipFill>
                <pic:spPr bwMode="auto">
                  <a:xfrm>
                    <a:off x="0" y="0"/>
                    <a:ext cx="1098507" cy="410746"/>
                  </a:xfrm>
                  <a:prstGeom prst="rect">
                    <a:avLst/>
                  </a:prstGeom>
                  <a:noFill/>
                  <a:ln w="9525">
                    <a:noFill/>
                    <a:miter lim="800000"/>
                    <a:headEnd/>
                    <a:tailEnd/>
                  </a:ln>
                </pic:spPr>
              </pic:pic>
            </a:graphicData>
          </a:graphic>
        </wp:inline>
      </w:drawing>
    </w:r>
    <w:r>
      <w:tab/>
    </w:r>
    <w:r>
      <w:tab/>
    </w:r>
    <w:r w:rsidRPr="00D43B76">
      <w:rPr>
        <w:noProof/>
        <w:lang w:eastAsia="en-GB"/>
      </w:rPr>
      <w:drawing>
        <wp:inline distT="0" distB="0" distL="0" distR="0" wp14:anchorId="2FE2DB41" wp14:editId="2D021179">
          <wp:extent cx="962025" cy="447675"/>
          <wp:effectExtent l="0" t="0" r="0" b="9525"/>
          <wp:docPr id="9" name="Picture 9" descr="New PWG Logo March 2013"/>
          <wp:cNvGraphicFramePr/>
          <a:graphic xmlns:a="http://schemas.openxmlformats.org/drawingml/2006/main">
            <a:graphicData uri="http://schemas.openxmlformats.org/drawingml/2006/picture">
              <pic:pic xmlns:pic="http://schemas.openxmlformats.org/drawingml/2006/picture">
                <pic:nvPicPr>
                  <pic:cNvPr id="13324" name="Picture 1" descr="New PWG Logo March 2013"/>
                  <pic:cNvPicPr>
                    <a:picLocks noChangeAspect="1" noChangeArrowheads="1"/>
                  </pic:cNvPicPr>
                </pic:nvPicPr>
                <pic:blipFill>
                  <a:blip r:embed="rId2" cstate="print"/>
                  <a:srcRect/>
                  <a:stretch>
                    <a:fillRect/>
                  </a:stretch>
                </pic:blipFill>
                <pic:spPr bwMode="auto">
                  <a:xfrm>
                    <a:off x="0" y="0"/>
                    <a:ext cx="965228" cy="449166"/>
                  </a:xfrm>
                  <a:prstGeom prst="rect">
                    <a:avLst/>
                  </a:prstGeom>
                  <a:noFill/>
                  <a:ln w="9525">
                    <a:noFill/>
                    <a:miter lim="800000"/>
                    <a:headEnd/>
                    <a:tailEnd/>
                  </a:ln>
                </pic:spPr>
              </pic:pic>
            </a:graphicData>
          </a:graphic>
        </wp:inline>
      </w:drawing>
    </w:r>
    <w:r w:rsidRPr="00D43B76">
      <w:rPr>
        <w:noProof/>
        <w:lang w:eastAsia="en-GB"/>
      </w:rPr>
      <w:drawing>
        <wp:inline distT="0" distB="0" distL="0" distR="0" wp14:anchorId="307FE35E" wp14:editId="3542651D">
          <wp:extent cx="1104900" cy="485775"/>
          <wp:effectExtent l="0" t="0" r="0" b="9525"/>
          <wp:docPr id="10" name="Picture 8" descr="C:\Documents and Settings\ci1jrb\My Documents\Admin\Logos\White background Print\tuoslogo_key_cmyk_hi.jpg"/>
          <wp:cNvGraphicFramePr/>
          <a:graphic xmlns:a="http://schemas.openxmlformats.org/drawingml/2006/main">
            <a:graphicData uri="http://schemas.openxmlformats.org/drawingml/2006/picture">
              <pic:pic xmlns:pic="http://schemas.openxmlformats.org/drawingml/2006/picture">
                <pic:nvPicPr>
                  <pic:cNvPr id="13323" name="Picture 11" descr="C:\Documents and Settings\ci1jrb\My Documents\Admin\Logos\White background Print\tuoslogo_key_cmyk_hi.jpg"/>
                  <pic:cNvPicPr>
                    <a:picLocks noChangeAspect="1" noChangeArrowheads="1"/>
                  </pic:cNvPicPr>
                </pic:nvPicPr>
                <pic:blipFill>
                  <a:blip r:embed="rId3" cstate="print"/>
                  <a:srcRect/>
                  <a:stretch>
                    <a:fillRect/>
                  </a:stretch>
                </pic:blipFill>
                <pic:spPr bwMode="auto">
                  <a:xfrm>
                    <a:off x="0" y="0"/>
                    <a:ext cx="1104362" cy="485538"/>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4A" w:rsidRDefault="000E7B4A" w:rsidP="002B3377">
    <w:pPr>
      <w:pStyle w:val="Footer"/>
      <w:jc w:val="center"/>
    </w:pPr>
    <w:r>
      <w:t>FV 150527</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4A" w:rsidRDefault="000E7B4A" w:rsidP="002B3377">
    <w:pPr>
      <w:pStyle w:val="Footer"/>
      <w:jc w:val="center"/>
    </w:pPr>
    <w:r>
      <w:t>FV 150527</w:t>
    </w:r>
    <w:r>
      <w:ptab w:relativeTo="margin" w:alignment="center" w:leader="none"/>
    </w:r>
    <w:r>
      <w:fldChar w:fldCharType="begin"/>
    </w:r>
    <w:r>
      <w:instrText xml:space="preserve"> PAGE   \* MERGEFORMAT </w:instrText>
    </w:r>
    <w:r>
      <w:fldChar w:fldCharType="separate"/>
    </w:r>
    <w:r w:rsidR="002E01BD">
      <w:rPr>
        <w:noProof/>
      </w:rPr>
      <w:t>7</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F2" w:rsidRDefault="00FC21F2" w:rsidP="002B3377">
      <w:pPr>
        <w:spacing w:after="0" w:line="240" w:lineRule="auto"/>
      </w:pPr>
      <w:r>
        <w:separator/>
      </w:r>
    </w:p>
  </w:footnote>
  <w:footnote w:type="continuationSeparator" w:id="0">
    <w:p w:rsidR="00FC21F2" w:rsidRDefault="00FC21F2" w:rsidP="002B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4A" w:rsidRDefault="000E7B4A" w:rsidP="002B3377">
    <w:pPr>
      <w:pStyle w:val="Header"/>
      <w:jc w:val="center"/>
    </w:pPr>
    <w:r w:rsidRPr="00525638">
      <w:rPr>
        <w:noProof/>
        <w:lang w:eastAsia="en-GB"/>
      </w:rPr>
      <w:drawing>
        <wp:inline distT="0" distB="0" distL="0" distR="0" wp14:anchorId="50EA7252" wp14:editId="4D30A155">
          <wp:extent cx="1800225" cy="381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 cstate="print"/>
                  <a:srcRect/>
                  <a:stretch>
                    <a:fillRect/>
                  </a:stretch>
                </pic:blipFill>
                <pic:spPr bwMode="auto">
                  <a:xfrm>
                    <a:off x="0" y="0"/>
                    <a:ext cx="1804773" cy="381962"/>
                  </a:xfrm>
                  <a:prstGeom prst="rect">
                    <a:avLst/>
                  </a:prstGeom>
                  <a:noFill/>
                  <a:ln w="9525">
                    <a:noFill/>
                    <a:miter lim="800000"/>
                    <a:headEnd/>
                    <a:tailEnd/>
                  </a:ln>
                  <a:effectLst/>
                </pic:spPr>
              </pic:pic>
            </a:graphicData>
          </a:graphic>
        </wp:inline>
      </w:drawing>
    </w:r>
    <w:r>
      <w:tab/>
    </w:r>
    <w:r>
      <w:tab/>
    </w:r>
    <w:r w:rsidRPr="00D43B76">
      <w:rPr>
        <w:noProof/>
        <w:lang w:eastAsia="en-GB"/>
      </w:rPr>
      <w:drawing>
        <wp:inline distT="0" distB="0" distL="0" distR="0" wp14:anchorId="71DF2D12" wp14:editId="19D0F830">
          <wp:extent cx="876300" cy="476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3318" name="Picture 6"/>
                  <pic:cNvPicPr>
                    <a:picLocks noChangeAspect="1" noChangeArrowheads="1"/>
                  </pic:cNvPicPr>
                </pic:nvPicPr>
                <pic:blipFill>
                  <a:blip r:embed="rId2" cstate="print"/>
                  <a:srcRect/>
                  <a:stretch>
                    <a:fillRect/>
                  </a:stretch>
                </pic:blipFill>
                <pic:spPr bwMode="auto">
                  <a:xfrm>
                    <a:off x="0" y="0"/>
                    <a:ext cx="878512" cy="477452"/>
                  </a:xfrm>
                  <a:prstGeom prst="rect">
                    <a:avLst/>
                  </a:prstGeom>
                  <a:noFill/>
                  <a:ln w="9525">
                    <a:noFill/>
                    <a:miter lim="800000"/>
                    <a:headEnd/>
                    <a:tailEnd/>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4A" w:rsidRDefault="000E7B4A" w:rsidP="002B3377">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188"/>
    <w:multiLevelType w:val="hybridMultilevel"/>
    <w:tmpl w:val="2B50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211F59"/>
    <w:multiLevelType w:val="hybridMultilevel"/>
    <w:tmpl w:val="C7B8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04494"/>
    <w:multiLevelType w:val="hybridMultilevel"/>
    <w:tmpl w:val="5DEE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BC0A0C"/>
    <w:multiLevelType w:val="multilevel"/>
    <w:tmpl w:val="5B121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00E84"/>
    <w:multiLevelType w:val="hybridMultilevel"/>
    <w:tmpl w:val="2362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B47E9F"/>
    <w:multiLevelType w:val="hybridMultilevel"/>
    <w:tmpl w:val="DEAC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8466D"/>
    <w:multiLevelType w:val="multilevel"/>
    <w:tmpl w:val="ED5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05ED2"/>
    <w:multiLevelType w:val="hybridMultilevel"/>
    <w:tmpl w:val="CDB2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06D91"/>
    <w:multiLevelType w:val="hybridMultilevel"/>
    <w:tmpl w:val="518A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167B6"/>
    <w:multiLevelType w:val="multilevel"/>
    <w:tmpl w:val="0D9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70725"/>
    <w:multiLevelType w:val="hybridMultilevel"/>
    <w:tmpl w:val="B20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8E2611"/>
    <w:multiLevelType w:val="hybridMultilevel"/>
    <w:tmpl w:val="4616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EE5008"/>
    <w:multiLevelType w:val="hybridMultilevel"/>
    <w:tmpl w:val="3250AB90"/>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29AA0719"/>
    <w:multiLevelType w:val="hybridMultilevel"/>
    <w:tmpl w:val="CE6C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E70956"/>
    <w:multiLevelType w:val="multilevel"/>
    <w:tmpl w:val="A0B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43348"/>
    <w:multiLevelType w:val="hybridMultilevel"/>
    <w:tmpl w:val="08B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2451B"/>
    <w:multiLevelType w:val="hybridMultilevel"/>
    <w:tmpl w:val="A1E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A531D"/>
    <w:multiLevelType w:val="multilevel"/>
    <w:tmpl w:val="9C8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5276C"/>
    <w:multiLevelType w:val="hybridMultilevel"/>
    <w:tmpl w:val="4BC6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A851D0"/>
    <w:multiLevelType w:val="hybridMultilevel"/>
    <w:tmpl w:val="DDFC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C40A7B"/>
    <w:multiLevelType w:val="hybridMultilevel"/>
    <w:tmpl w:val="A92C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32138"/>
    <w:multiLevelType w:val="multilevel"/>
    <w:tmpl w:val="228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573444"/>
    <w:multiLevelType w:val="multilevel"/>
    <w:tmpl w:val="ADC62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104C8"/>
    <w:multiLevelType w:val="hybridMultilevel"/>
    <w:tmpl w:val="300EF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70713F"/>
    <w:multiLevelType w:val="multilevel"/>
    <w:tmpl w:val="7C3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848A1"/>
    <w:multiLevelType w:val="hybridMultilevel"/>
    <w:tmpl w:val="1390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24"/>
  </w:num>
  <w:num w:numId="5">
    <w:abstractNumId w:val="17"/>
  </w:num>
  <w:num w:numId="6">
    <w:abstractNumId w:val="13"/>
  </w:num>
  <w:num w:numId="7">
    <w:abstractNumId w:val="2"/>
  </w:num>
  <w:num w:numId="8">
    <w:abstractNumId w:val="8"/>
  </w:num>
  <w:num w:numId="9">
    <w:abstractNumId w:val="15"/>
  </w:num>
  <w:num w:numId="10">
    <w:abstractNumId w:val="18"/>
  </w:num>
  <w:num w:numId="11">
    <w:abstractNumId w:val="7"/>
  </w:num>
  <w:num w:numId="12">
    <w:abstractNumId w:val="11"/>
  </w:num>
  <w:num w:numId="13">
    <w:abstractNumId w:val="20"/>
  </w:num>
  <w:num w:numId="14">
    <w:abstractNumId w:val="23"/>
  </w:num>
  <w:num w:numId="15">
    <w:abstractNumId w:val="1"/>
  </w:num>
  <w:num w:numId="16">
    <w:abstractNumId w:val="10"/>
  </w:num>
  <w:num w:numId="17">
    <w:abstractNumId w:val="19"/>
  </w:num>
  <w:num w:numId="18">
    <w:abstractNumId w:val="16"/>
  </w:num>
  <w:num w:numId="19">
    <w:abstractNumId w:val="14"/>
  </w:num>
  <w:num w:numId="20">
    <w:abstractNumId w:val="6"/>
  </w:num>
  <w:num w:numId="21">
    <w:abstractNumId w:val="22"/>
  </w:num>
  <w:num w:numId="22">
    <w:abstractNumId w:val="3"/>
  </w:num>
  <w:num w:numId="23">
    <w:abstractNumId w:val="25"/>
  </w:num>
  <w:num w:numId="24">
    <w:abstractNumId w:val="21"/>
  </w:num>
  <w:num w:numId="25">
    <w:abstractNumId w:val="9"/>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64"/>
    <w:rsid w:val="00006B13"/>
    <w:rsid w:val="00067C1C"/>
    <w:rsid w:val="000A33FB"/>
    <w:rsid w:val="000E7729"/>
    <w:rsid w:val="000E7B4A"/>
    <w:rsid w:val="00102DB5"/>
    <w:rsid w:val="00172F0A"/>
    <w:rsid w:val="00174D97"/>
    <w:rsid w:val="001E605F"/>
    <w:rsid w:val="001F46BC"/>
    <w:rsid w:val="002A3AC4"/>
    <w:rsid w:val="002B3377"/>
    <w:rsid w:val="002C68E1"/>
    <w:rsid w:val="002D7109"/>
    <w:rsid w:val="002E01BD"/>
    <w:rsid w:val="0034609F"/>
    <w:rsid w:val="003B526C"/>
    <w:rsid w:val="003D4793"/>
    <w:rsid w:val="003F3704"/>
    <w:rsid w:val="0043308F"/>
    <w:rsid w:val="005843B7"/>
    <w:rsid w:val="005B70B9"/>
    <w:rsid w:val="005C143B"/>
    <w:rsid w:val="006000F6"/>
    <w:rsid w:val="00614F30"/>
    <w:rsid w:val="00731009"/>
    <w:rsid w:val="007450FC"/>
    <w:rsid w:val="007B726F"/>
    <w:rsid w:val="0099423C"/>
    <w:rsid w:val="009D1907"/>
    <w:rsid w:val="009E54A6"/>
    <w:rsid w:val="00A615B5"/>
    <w:rsid w:val="00AC674B"/>
    <w:rsid w:val="00B838F8"/>
    <w:rsid w:val="00BA54DC"/>
    <w:rsid w:val="00BF001E"/>
    <w:rsid w:val="00C71C50"/>
    <w:rsid w:val="00C806CC"/>
    <w:rsid w:val="00CC761F"/>
    <w:rsid w:val="00D37682"/>
    <w:rsid w:val="00D67C40"/>
    <w:rsid w:val="00D94C64"/>
    <w:rsid w:val="00DA444C"/>
    <w:rsid w:val="00DD7A1A"/>
    <w:rsid w:val="00E37E76"/>
    <w:rsid w:val="00E623ED"/>
    <w:rsid w:val="00E72C3C"/>
    <w:rsid w:val="00ED797D"/>
    <w:rsid w:val="00FB3ACA"/>
    <w:rsid w:val="00FC21F2"/>
    <w:rsid w:val="00FD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5C143B"/>
    <w:rPr>
      <w:color w:val="0000FF" w:themeColor="hyperlink"/>
      <w:u w:val="single"/>
    </w:rPr>
  </w:style>
  <w:style w:type="paragraph" w:styleId="NormalWeb">
    <w:name w:val="Normal (Web)"/>
    <w:basedOn w:val="Normal"/>
    <w:uiPriority w:val="99"/>
    <w:semiHidden/>
    <w:unhideWhenUsed/>
    <w:rsid w:val="00006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06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13"/>
    <w:rPr>
      <w:rFonts w:ascii="Tahoma" w:hAnsi="Tahoma" w:cs="Tahoma"/>
      <w:sz w:val="16"/>
      <w:szCs w:val="16"/>
    </w:rPr>
  </w:style>
  <w:style w:type="paragraph" w:customStyle="1" w:styleId="rad-notes">
    <w:name w:val="rad-notes"/>
    <w:basedOn w:val="Normal"/>
    <w:rsid w:val="00731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444C"/>
    <w:rPr>
      <w:color w:val="800080" w:themeColor="followedHyperlink"/>
      <w:u w:val="single"/>
    </w:rPr>
  </w:style>
  <w:style w:type="paragraph" w:styleId="Header">
    <w:name w:val="header"/>
    <w:basedOn w:val="Normal"/>
    <w:link w:val="HeaderChar"/>
    <w:uiPriority w:val="99"/>
    <w:unhideWhenUsed/>
    <w:rsid w:val="002B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77"/>
  </w:style>
  <w:style w:type="paragraph" w:styleId="Footer">
    <w:name w:val="footer"/>
    <w:basedOn w:val="Normal"/>
    <w:link w:val="FooterChar"/>
    <w:uiPriority w:val="99"/>
    <w:unhideWhenUsed/>
    <w:rsid w:val="002B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77"/>
  </w:style>
  <w:style w:type="paragraph" w:styleId="TOC1">
    <w:name w:val="toc 1"/>
    <w:basedOn w:val="Normal"/>
    <w:next w:val="Normal"/>
    <w:autoRedefine/>
    <w:uiPriority w:val="39"/>
    <w:unhideWhenUsed/>
    <w:rsid w:val="002B3377"/>
    <w:pPr>
      <w:spacing w:after="100"/>
    </w:pPr>
  </w:style>
  <w:style w:type="paragraph" w:styleId="TOC2">
    <w:name w:val="toc 2"/>
    <w:basedOn w:val="Normal"/>
    <w:next w:val="Normal"/>
    <w:autoRedefine/>
    <w:uiPriority w:val="39"/>
    <w:unhideWhenUsed/>
    <w:rsid w:val="002B3377"/>
    <w:pPr>
      <w:spacing w:after="100"/>
      <w:ind w:left="220"/>
    </w:pPr>
  </w:style>
  <w:style w:type="paragraph" w:styleId="TOC3">
    <w:name w:val="toc 3"/>
    <w:basedOn w:val="Normal"/>
    <w:next w:val="Normal"/>
    <w:autoRedefine/>
    <w:uiPriority w:val="39"/>
    <w:unhideWhenUsed/>
    <w:rsid w:val="002B337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5F"/>
  </w:style>
  <w:style w:type="paragraph" w:styleId="Heading1">
    <w:name w:val="heading 1"/>
    <w:basedOn w:val="Normal"/>
    <w:next w:val="Normal"/>
    <w:link w:val="Heading1Char"/>
    <w:uiPriority w:val="9"/>
    <w:qFormat/>
    <w:rsid w:val="001E6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0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60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E60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E60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E60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E60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E60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60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60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E60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E60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E60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E60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E60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E60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6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0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6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0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605F"/>
    <w:rPr>
      <w:b/>
      <w:bCs/>
    </w:rPr>
  </w:style>
  <w:style w:type="character" w:styleId="Emphasis">
    <w:name w:val="Emphasis"/>
    <w:basedOn w:val="DefaultParagraphFont"/>
    <w:uiPriority w:val="20"/>
    <w:qFormat/>
    <w:rsid w:val="001E605F"/>
    <w:rPr>
      <w:i/>
      <w:iCs/>
    </w:rPr>
  </w:style>
  <w:style w:type="paragraph" w:styleId="NoSpacing">
    <w:name w:val="No Spacing"/>
    <w:link w:val="NoSpacingChar"/>
    <w:uiPriority w:val="1"/>
    <w:qFormat/>
    <w:rsid w:val="001E605F"/>
    <w:pPr>
      <w:spacing w:after="0" w:line="240" w:lineRule="auto"/>
    </w:pPr>
  </w:style>
  <w:style w:type="paragraph" w:styleId="ListParagraph">
    <w:name w:val="List Paragraph"/>
    <w:basedOn w:val="Normal"/>
    <w:uiPriority w:val="34"/>
    <w:qFormat/>
    <w:rsid w:val="001E605F"/>
    <w:pPr>
      <w:ind w:left="720"/>
      <w:contextualSpacing/>
    </w:pPr>
  </w:style>
  <w:style w:type="paragraph" w:styleId="Quote">
    <w:name w:val="Quote"/>
    <w:basedOn w:val="Normal"/>
    <w:next w:val="Normal"/>
    <w:link w:val="QuoteChar"/>
    <w:uiPriority w:val="29"/>
    <w:qFormat/>
    <w:rsid w:val="001E605F"/>
    <w:rPr>
      <w:i/>
      <w:iCs/>
      <w:color w:val="000000" w:themeColor="text1"/>
    </w:rPr>
  </w:style>
  <w:style w:type="character" w:customStyle="1" w:styleId="QuoteChar">
    <w:name w:val="Quote Char"/>
    <w:basedOn w:val="DefaultParagraphFont"/>
    <w:link w:val="Quote"/>
    <w:uiPriority w:val="29"/>
    <w:rsid w:val="001E605F"/>
    <w:rPr>
      <w:i/>
      <w:iCs/>
      <w:color w:val="000000" w:themeColor="text1"/>
    </w:rPr>
  </w:style>
  <w:style w:type="paragraph" w:styleId="IntenseQuote">
    <w:name w:val="Intense Quote"/>
    <w:basedOn w:val="Normal"/>
    <w:next w:val="Normal"/>
    <w:link w:val="IntenseQuoteChar"/>
    <w:uiPriority w:val="30"/>
    <w:qFormat/>
    <w:rsid w:val="001E60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05F"/>
    <w:rPr>
      <w:b/>
      <w:bCs/>
      <w:i/>
      <w:iCs/>
      <w:color w:val="4F81BD" w:themeColor="accent1"/>
    </w:rPr>
  </w:style>
  <w:style w:type="character" w:styleId="SubtleEmphasis">
    <w:name w:val="Subtle Emphasis"/>
    <w:basedOn w:val="DefaultParagraphFont"/>
    <w:uiPriority w:val="19"/>
    <w:qFormat/>
    <w:rsid w:val="001E605F"/>
    <w:rPr>
      <w:i/>
      <w:iCs/>
      <w:color w:val="808080" w:themeColor="text1" w:themeTint="7F"/>
    </w:rPr>
  </w:style>
  <w:style w:type="character" w:styleId="IntenseEmphasis">
    <w:name w:val="Intense Emphasis"/>
    <w:basedOn w:val="DefaultParagraphFont"/>
    <w:uiPriority w:val="21"/>
    <w:qFormat/>
    <w:rsid w:val="001E605F"/>
    <w:rPr>
      <w:b/>
      <w:bCs/>
      <w:i/>
      <w:iCs/>
      <w:color w:val="4F81BD" w:themeColor="accent1"/>
    </w:rPr>
  </w:style>
  <w:style w:type="character" w:styleId="SubtleReference">
    <w:name w:val="Subtle Reference"/>
    <w:basedOn w:val="DefaultParagraphFont"/>
    <w:uiPriority w:val="31"/>
    <w:qFormat/>
    <w:rsid w:val="001E605F"/>
    <w:rPr>
      <w:smallCaps/>
      <w:color w:val="C0504D" w:themeColor="accent2"/>
      <w:u w:val="single"/>
    </w:rPr>
  </w:style>
  <w:style w:type="character" w:styleId="IntenseReference">
    <w:name w:val="Intense Reference"/>
    <w:basedOn w:val="DefaultParagraphFont"/>
    <w:uiPriority w:val="32"/>
    <w:qFormat/>
    <w:rsid w:val="001E605F"/>
    <w:rPr>
      <w:b/>
      <w:bCs/>
      <w:smallCaps/>
      <w:color w:val="C0504D" w:themeColor="accent2"/>
      <w:spacing w:val="5"/>
      <w:u w:val="single"/>
    </w:rPr>
  </w:style>
  <w:style w:type="character" w:styleId="BookTitle">
    <w:name w:val="Book Title"/>
    <w:basedOn w:val="DefaultParagraphFont"/>
    <w:uiPriority w:val="33"/>
    <w:qFormat/>
    <w:rsid w:val="001E605F"/>
    <w:rPr>
      <w:b/>
      <w:bCs/>
      <w:smallCaps/>
      <w:spacing w:val="5"/>
    </w:rPr>
  </w:style>
  <w:style w:type="paragraph" w:styleId="TOCHeading">
    <w:name w:val="TOC Heading"/>
    <w:basedOn w:val="Heading1"/>
    <w:next w:val="Normal"/>
    <w:uiPriority w:val="39"/>
    <w:semiHidden/>
    <w:unhideWhenUsed/>
    <w:qFormat/>
    <w:rsid w:val="001E605F"/>
    <w:pPr>
      <w:outlineLvl w:val="9"/>
    </w:pPr>
  </w:style>
  <w:style w:type="character" w:customStyle="1" w:styleId="NoSpacingChar">
    <w:name w:val="No Spacing Char"/>
    <w:basedOn w:val="DefaultParagraphFont"/>
    <w:link w:val="NoSpacing"/>
    <w:uiPriority w:val="1"/>
    <w:rsid w:val="001E605F"/>
  </w:style>
  <w:style w:type="character" w:styleId="Hyperlink">
    <w:name w:val="Hyperlink"/>
    <w:basedOn w:val="DefaultParagraphFont"/>
    <w:uiPriority w:val="99"/>
    <w:unhideWhenUsed/>
    <w:rsid w:val="005C143B"/>
    <w:rPr>
      <w:color w:val="0000FF" w:themeColor="hyperlink"/>
      <w:u w:val="single"/>
    </w:rPr>
  </w:style>
  <w:style w:type="paragraph" w:styleId="NormalWeb">
    <w:name w:val="Normal (Web)"/>
    <w:basedOn w:val="Normal"/>
    <w:uiPriority w:val="99"/>
    <w:semiHidden/>
    <w:unhideWhenUsed/>
    <w:rsid w:val="00006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06B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13"/>
    <w:rPr>
      <w:rFonts w:ascii="Tahoma" w:hAnsi="Tahoma" w:cs="Tahoma"/>
      <w:sz w:val="16"/>
      <w:szCs w:val="16"/>
    </w:rPr>
  </w:style>
  <w:style w:type="paragraph" w:customStyle="1" w:styleId="rad-notes">
    <w:name w:val="rad-notes"/>
    <w:basedOn w:val="Normal"/>
    <w:rsid w:val="00731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444C"/>
    <w:rPr>
      <w:color w:val="800080" w:themeColor="followedHyperlink"/>
      <w:u w:val="single"/>
    </w:rPr>
  </w:style>
  <w:style w:type="paragraph" w:styleId="Header">
    <w:name w:val="header"/>
    <w:basedOn w:val="Normal"/>
    <w:link w:val="HeaderChar"/>
    <w:uiPriority w:val="99"/>
    <w:unhideWhenUsed/>
    <w:rsid w:val="002B3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377"/>
  </w:style>
  <w:style w:type="paragraph" w:styleId="Footer">
    <w:name w:val="footer"/>
    <w:basedOn w:val="Normal"/>
    <w:link w:val="FooterChar"/>
    <w:uiPriority w:val="99"/>
    <w:unhideWhenUsed/>
    <w:rsid w:val="002B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377"/>
  </w:style>
  <w:style w:type="paragraph" w:styleId="TOC1">
    <w:name w:val="toc 1"/>
    <w:basedOn w:val="Normal"/>
    <w:next w:val="Normal"/>
    <w:autoRedefine/>
    <w:uiPriority w:val="39"/>
    <w:unhideWhenUsed/>
    <w:rsid w:val="002B3377"/>
    <w:pPr>
      <w:spacing w:after="100"/>
    </w:pPr>
  </w:style>
  <w:style w:type="paragraph" w:styleId="TOC2">
    <w:name w:val="toc 2"/>
    <w:basedOn w:val="Normal"/>
    <w:next w:val="Normal"/>
    <w:autoRedefine/>
    <w:uiPriority w:val="39"/>
    <w:unhideWhenUsed/>
    <w:rsid w:val="002B3377"/>
    <w:pPr>
      <w:spacing w:after="100"/>
      <w:ind w:left="220"/>
    </w:pPr>
  </w:style>
  <w:style w:type="paragraph" w:styleId="TOC3">
    <w:name w:val="toc 3"/>
    <w:basedOn w:val="Normal"/>
    <w:next w:val="Normal"/>
    <w:autoRedefine/>
    <w:uiPriority w:val="39"/>
    <w:unhideWhenUsed/>
    <w:rsid w:val="002B33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081">
      <w:bodyDiv w:val="1"/>
      <w:marLeft w:val="0"/>
      <w:marRight w:val="0"/>
      <w:marTop w:val="0"/>
      <w:marBottom w:val="0"/>
      <w:divBdr>
        <w:top w:val="none" w:sz="0" w:space="0" w:color="auto"/>
        <w:left w:val="none" w:sz="0" w:space="0" w:color="auto"/>
        <w:bottom w:val="none" w:sz="0" w:space="0" w:color="auto"/>
        <w:right w:val="none" w:sz="0" w:space="0" w:color="auto"/>
      </w:divBdr>
      <w:divsChild>
        <w:div w:id="1722051541">
          <w:marLeft w:val="0"/>
          <w:marRight w:val="0"/>
          <w:marTop w:val="0"/>
          <w:marBottom w:val="0"/>
          <w:divBdr>
            <w:top w:val="none" w:sz="0" w:space="0" w:color="auto"/>
            <w:left w:val="none" w:sz="0" w:space="0" w:color="auto"/>
            <w:bottom w:val="none" w:sz="0" w:space="0" w:color="auto"/>
            <w:right w:val="none" w:sz="0" w:space="0" w:color="auto"/>
          </w:divBdr>
          <w:divsChild>
            <w:div w:id="9475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263">
      <w:bodyDiv w:val="1"/>
      <w:marLeft w:val="0"/>
      <w:marRight w:val="0"/>
      <w:marTop w:val="0"/>
      <w:marBottom w:val="0"/>
      <w:divBdr>
        <w:top w:val="none" w:sz="0" w:space="0" w:color="auto"/>
        <w:left w:val="none" w:sz="0" w:space="0" w:color="auto"/>
        <w:bottom w:val="none" w:sz="0" w:space="0" w:color="auto"/>
        <w:right w:val="none" w:sz="0" w:space="0" w:color="auto"/>
      </w:divBdr>
    </w:div>
    <w:div w:id="27146512">
      <w:bodyDiv w:val="1"/>
      <w:marLeft w:val="0"/>
      <w:marRight w:val="0"/>
      <w:marTop w:val="0"/>
      <w:marBottom w:val="0"/>
      <w:divBdr>
        <w:top w:val="none" w:sz="0" w:space="0" w:color="auto"/>
        <w:left w:val="none" w:sz="0" w:space="0" w:color="auto"/>
        <w:bottom w:val="none" w:sz="0" w:space="0" w:color="auto"/>
        <w:right w:val="none" w:sz="0" w:space="0" w:color="auto"/>
      </w:divBdr>
    </w:div>
    <w:div w:id="34895809">
      <w:bodyDiv w:val="1"/>
      <w:marLeft w:val="0"/>
      <w:marRight w:val="0"/>
      <w:marTop w:val="0"/>
      <w:marBottom w:val="0"/>
      <w:divBdr>
        <w:top w:val="none" w:sz="0" w:space="0" w:color="auto"/>
        <w:left w:val="none" w:sz="0" w:space="0" w:color="auto"/>
        <w:bottom w:val="none" w:sz="0" w:space="0" w:color="auto"/>
        <w:right w:val="none" w:sz="0" w:space="0" w:color="auto"/>
      </w:divBdr>
      <w:divsChild>
        <w:div w:id="492181502">
          <w:marLeft w:val="0"/>
          <w:marRight w:val="0"/>
          <w:marTop w:val="0"/>
          <w:marBottom w:val="0"/>
          <w:divBdr>
            <w:top w:val="none" w:sz="0" w:space="0" w:color="auto"/>
            <w:left w:val="none" w:sz="0" w:space="0" w:color="auto"/>
            <w:bottom w:val="none" w:sz="0" w:space="0" w:color="auto"/>
            <w:right w:val="none" w:sz="0" w:space="0" w:color="auto"/>
          </w:divBdr>
          <w:divsChild>
            <w:div w:id="328799464">
              <w:marLeft w:val="0"/>
              <w:marRight w:val="0"/>
              <w:marTop w:val="0"/>
              <w:marBottom w:val="0"/>
              <w:divBdr>
                <w:top w:val="none" w:sz="0" w:space="0" w:color="auto"/>
                <w:left w:val="none" w:sz="0" w:space="0" w:color="auto"/>
                <w:bottom w:val="none" w:sz="0" w:space="0" w:color="auto"/>
                <w:right w:val="none" w:sz="0" w:space="0" w:color="auto"/>
              </w:divBdr>
              <w:divsChild>
                <w:div w:id="50156854">
                  <w:marLeft w:val="0"/>
                  <w:marRight w:val="0"/>
                  <w:marTop w:val="0"/>
                  <w:marBottom w:val="0"/>
                  <w:divBdr>
                    <w:top w:val="none" w:sz="0" w:space="0" w:color="auto"/>
                    <w:left w:val="none" w:sz="0" w:space="0" w:color="auto"/>
                    <w:bottom w:val="none" w:sz="0" w:space="0" w:color="auto"/>
                    <w:right w:val="none" w:sz="0" w:space="0" w:color="auto"/>
                  </w:divBdr>
                  <w:divsChild>
                    <w:div w:id="998339620">
                      <w:marLeft w:val="0"/>
                      <w:marRight w:val="0"/>
                      <w:marTop w:val="0"/>
                      <w:marBottom w:val="0"/>
                      <w:divBdr>
                        <w:top w:val="none" w:sz="0" w:space="0" w:color="auto"/>
                        <w:left w:val="none" w:sz="0" w:space="0" w:color="auto"/>
                        <w:bottom w:val="none" w:sz="0" w:space="0" w:color="auto"/>
                        <w:right w:val="none" w:sz="0" w:space="0" w:color="auto"/>
                      </w:divBdr>
                    </w:div>
                    <w:div w:id="925185578">
                      <w:marLeft w:val="0"/>
                      <w:marRight w:val="0"/>
                      <w:marTop w:val="0"/>
                      <w:marBottom w:val="0"/>
                      <w:divBdr>
                        <w:top w:val="none" w:sz="0" w:space="0" w:color="auto"/>
                        <w:left w:val="none" w:sz="0" w:space="0" w:color="auto"/>
                        <w:bottom w:val="none" w:sz="0" w:space="0" w:color="auto"/>
                        <w:right w:val="none" w:sz="0" w:space="0" w:color="auto"/>
                      </w:divBdr>
                      <w:divsChild>
                        <w:div w:id="551040248">
                          <w:marLeft w:val="0"/>
                          <w:marRight w:val="0"/>
                          <w:marTop w:val="0"/>
                          <w:marBottom w:val="0"/>
                          <w:divBdr>
                            <w:top w:val="none" w:sz="0" w:space="0" w:color="auto"/>
                            <w:left w:val="none" w:sz="0" w:space="0" w:color="auto"/>
                            <w:bottom w:val="none" w:sz="0" w:space="0" w:color="auto"/>
                            <w:right w:val="none" w:sz="0" w:space="0" w:color="auto"/>
                          </w:divBdr>
                          <w:divsChild>
                            <w:div w:id="2101677308">
                              <w:marLeft w:val="0"/>
                              <w:marRight w:val="0"/>
                              <w:marTop w:val="0"/>
                              <w:marBottom w:val="0"/>
                              <w:divBdr>
                                <w:top w:val="none" w:sz="0" w:space="0" w:color="auto"/>
                                <w:left w:val="none" w:sz="0" w:space="0" w:color="auto"/>
                                <w:bottom w:val="none" w:sz="0" w:space="0" w:color="auto"/>
                                <w:right w:val="none" w:sz="0" w:space="0" w:color="auto"/>
                              </w:divBdr>
                              <w:divsChild>
                                <w:div w:id="5741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2458">
      <w:bodyDiv w:val="1"/>
      <w:marLeft w:val="0"/>
      <w:marRight w:val="0"/>
      <w:marTop w:val="0"/>
      <w:marBottom w:val="0"/>
      <w:divBdr>
        <w:top w:val="none" w:sz="0" w:space="0" w:color="auto"/>
        <w:left w:val="none" w:sz="0" w:space="0" w:color="auto"/>
        <w:bottom w:val="none" w:sz="0" w:space="0" w:color="auto"/>
        <w:right w:val="none" w:sz="0" w:space="0" w:color="auto"/>
      </w:divBdr>
      <w:divsChild>
        <w:div w:id="142507404">
          <w:marLeft w:val="0"/>
          <w:marRight w:val="0"/>
          <w:marTop w:val="0"/>
          <w:marBottom w:val="0"/>
          <w:divBdr>
            <w:top w:val="none" w:sz="0" w:space="0" w:color="auto"/>
            <w:left w:val="none" w:sz="0" w:space="0" w:color="auto"/>
            <w:bottom w:val="none" w:sz="0" w:space="0" w:color="auto"/>
            <w:right w:val="none" w:sz="0" w:space="0" w:color="auto"/>
          </w:divBdr>
          <w:divsChild>
            <w:div w:id="20182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105">
      <w:bodyDiv w:val="1"/>
      <w:marLeft w:val="0"/>
      <w:marRight w:val="0"/>
      <w:marTop w:val="0"/>
      <w:marBottom w:val="0"/>
      <w:divBdr>
        <w:top w:val="none" w:sz="0" w:space="0" w:color="auto"/>
        <w:left w:val="none" w:sz="0" w:space="0" w:color="auto"/>
        <w:bottom w:val="none" w:sz="0" w:space="0" w:color="auto"/>
        <w:right w:val="none" w:sz="0" w:space="0" w:color="auto"/>
      </w:divBdr>
    </w:div>
    <w:div w:id="268200096">
      <w:bodyDiv w:val="1"/>
      <w:marLeft w:val="0"/>
      <w:marRight w:val="0"/>
      <w:marTop w:val="0"/>
      <w:marBottom w:val="0"/>
      <w:divBdr>
        <w:top w:val="none" w:sz="0" w:space="0" w:color="auto"/>
        <w:left w:val="none" w:sz="0" w:space="0" w:color="auto"/>
        <w:bottom w:val="none" w:sz="0" w:space="0" w:color="auto"/>
        <w:right w:val="none" w:sz="0" w:space="0" w:color="auto"/>
      </w:divBdr>
      <w:divsChild>
        <w:div w:id="1958444932">
          <w:marLeft w:val="0"/>
          <w:marRight w:val="0"/>
          <w:marTop w:val="0"/>
          <w:marBottom w:val="0"/>
          <w:divBdr>
            <w:top w:val="none" w:sz="0" w:space="0" w:color="auto"/>
            <w:left w:val="none" w:sz="0" w:space="0" w:color="auto"/>
            <w:bottom w:val="none" w:sz="0" w:space="0" w:color="auto"/>
            <w:right w:val="none" w:sz="0" w:space="0" w:color="auto"/>
          </w:divBdr>
          <w:divsChild>
            <w:div w:id="407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9850">
      <w:bodyDiv w:val="1"/>
      <w:marLeft w:val="0"/>
      <w:marRight w:val="0"/>
      <w:marTop w:val="0"/>
      <w:marBottom w:val="0"/>
      <w:divBdr>
        <w:top w:val="none" w:sz="0" w:space="0" w:color="auto"/>
        <w:left w:val="none" w:sz="0" w:space="0" w:color="auto"/>
        <w:bottom w:val="none" w:sz="0" w:space="0" w:color="auto"/>
        <w:right w:val="none" w:sz="0" w:space="0" w:color="auto"/>
      </w:divBdr>
      <w:divsChild>
        <w:div w:id="1827431148">
          <w:marLeft w:val="0"/>
          <w:marRight w:val="0"/>
          <w:marTop w:val="0"/>
          <w:marBottom w:val="0"/>
          <w:divBdr>
            <w:top w:val="none" w:sz="0" w:space="0" w:color="auto"/>
            <w:left w:val="none" w:sz="0" w:space="0" w:color="auto"/>
            <w:bottom w:val="none" w:sz="0" w:space="0" w:color="auto"/>
            <w:right w:val="none" w:sz="0" w:space="0" w:color="auto"/>
          </w:divBdr>
        </w:div>
      </w:divsChild>
    </w:div>
    <w:div w:id="456487112">
      <w:bodyDiv w:val="1"/>
      <w:marLeft w:val="0"/>
      <w:marRight w:val="0"/>
      <w:marTop w:val="0"/>
      <w:marBottom w:val="0"/>
      <w:divBdr>
        <w:top w:val="none" w:sz="0" w:space="0" w:color="auto"/>
        <w:left w:val="none" w:sz="0" w:space="0" w:color="auto"/>
        <w:bottom w:val="none" w:sz="0" w:space="0" w:color="auto"/>
        <w:right w:val="none" w:sz="0" w:space="0" w:color="auto"/>
      </w:divBdr>
      <w:divsChild>
        <w:div w:id="676470500">
          <w:marLeft w:val="0"/>
          <w:marRight w:val="0"/>
          <w:marTop w:val="0"/>
          <w:marBottom w:val="0"/>
          <w:divBdr>
            <w:top w:val="none" w:sz="0" w:space="0" w:color="auto"/>
            <w:left w:val="none" w:sz="0" w:space="0" w:color="auto"/>
            <w:bottom w:val="none" w:sz="0" w:space="0" w:color="auto"/>
            <w:right w:val="none" w:sz="0" w:space="0" w:color="auto"/>
          </w:divBdr>
        </w:div>
      </w:divsChild>
    </w:div>
    <w:div w:id="461191888">
      <w:bodyDiv w:val="1"/>
      <w:marLeft w:val="0"/>
      <w:marRight w:val="0"/>
      <w:marTop w:val="0"/>
      <w:marBottom w:val="0"/>
      <w:divBdr>
        <w:top w:val="none" w:sz="0" w:space="0" w:color="auto"/>
        <w:left w:val="none" w:sz="0" w:space="0" w:color="auto"/>
        <w:bottom w:val="none" w:sz="0" w:space="0" w:color="auto"/>
        <w:right w:val="none" w:sz="0" w:space="0" w:color="auto"/>
      </w:divBdr>
      <w:divsChild>
        <w:div w:id="1283026989">
          <w:marLeft w:val="0"/>
          <w:marRight w:val="0"/>
          <w:marTop w:val="0"/>
          <w:marBottom w:val="0"/>
          <w:divBdr>
            <w:top w:val="none" w:sz="0" w:space="0" w:color="auto"/>
            <w:left w:val="none" w:sz="0" w:space="0" w:color="auto"/>
            <w:bottom w:val="none" w:sz="0" w:space="0" w:color="auto"/>
            <w:right w:val="none" w:sz="0" w:space="0" w:color="auto"/>
          </w:divBdr>
          <w:divsChild>
            <w:div w:id="965745245">
              <w:marLeft w:val="0"/>
              <w:marRight w:val="0"/>
              <w:marTop w:val="0"/>
              <w:marBottom w:val="0"/>
              <w:divBdr>
                <w:top w:val="none" w:sz="0" w:space="0" w:color="auto"/>
                <w:left w:val="none" w:sz="0" w:space="0" w:color="auto"/>
                <w:bottom w:val="none" w:sz="0" w:space="0" w:color="auto"/>
                <w:right w:val="none" w:sz="0" w:space="0" w:color="auto"/>
              </w:divBdr>
            </w:div>
            <w:div w:id="1821074087">
              <w:marLeft w:val="0"/>
              <w:marRight w:val="0"/>
              <w:marTop w:val="0"/>
              <w:marBottom w:val="0"/>
              <w:divBdr>
                <w:top w:val="none" w:sz="0" w:space="0" w:color="auto"/>
                <w:left w:val="none" w:sz="0" w:space="0" w:color="auto"/>
                <w:bottom w:val="none" w:sz="0" w:space="0" w:color="auto"/>
                <w:right w:val="none" w:sz="0" w:space="0" w:color="auto"/>
              </w:divBdr>
            </w:div>
            <w:div w:id="878587249">
              <w:marLeft w:val="0"/>
              <w:marRight w:val="0"/>
              <w:marTop w:val="0"/>
              <w:marBottom w:val="0"/>
              <w:divBdr>
                <w:top w:val="none" w:sz="0" w:space="0" w:color="auto"/>
                <w:left w:val="none" w:sz="0" w:space="0" w:color="auto"/>
                <w:bottom w:val="none" w:sz="0" w:space="0" w:color="auto"/>
                <w:right w:val="none" w:sz="0" w:space="0" w:color="auto"/>
              </w:divBdr>
            </w:div>
          </w:divsChild>
        </w:div>
        <w:div w:id="971597135">
          <w:marLeft w:val="0"/>
          <w:marRight w:val="0"/>
          <w:marTop w:val="0"/>
          <w:marBottom w:val="0"/>
          <w:divBdr>
            <w:top w:val="none" w:sz="0" w:space="0" w:color="auto"/>
            <w:left w:val="none" w:sz="0" w:space="0" w:color="auto"/>
            <w:bottom w:val="none" w:sz="0" w:space="0" w:color="auto"/>
            <w:right w:val="none" w:sz="0" w:space="0" w:color="auto"/>
          </w:divBdr>
          <w:divsChild>
            <w:div w:id="3754017">
              <w:marLeft w:val="0"/>
              <w:marRight w:val="0"/>
              <w:marTop w:val="0"/>
              <w:marBottom w:val="0"/>
              <w:divBdr>
                <w:top w:val="none" w:sz="0" w:space="0" w:color="auto"/>
                <w:left w:val="none" w:sz="0" w:space="0" w:color="auto"/>
                <w:bottom w:val="none" w:sz="0" w:space="0" w:color="auto"/>
                <w:right w:val="none" w:sz="0" w:space="0" w:color="auto"/>
              </w:divBdr>
              <w:divsChild>
                <w:div w:id="4063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80187">
      <w:bodyDiv w:val="1"/>
      <w:marLeft w:val="0"/>
      <w:marRight w:val="0"/>
      <w:marTop w:val="0"/>
      <w:marBottom w:val="0"/>
      <w:divBdr>
        <w:top w:val="none" w:sz="0" w:space="0" w:color="auto"/>
        <w:left w:val="none" w:sz="0" w:space="0" w:color="auto"/>
        <w:bottom w:val="none" w:sz="0" w:space="0" w:color="auto"/>
        <w:right w:val="none" w:sz="0" w:space="0" w:color="auto"/>
      </w:divBdr>
    </w:div>
    <w:div w:id="517475129">
      <w:bodyDiv w:val="1"/>
      <w:marLeft w:val="0"/>
      <w:marRight w:val="0"/>
      <w:marTop w:val="0"/>
      <w:marBottom w:val="0"/>
      <w:divBdr>
        <w:top w:val="none" w:sz="0" w:space="0" w:color="auto"/>
        <w:left w:val="none" w:sz="0" w:space="0" w:color="auto"/>
        <w:bottom w:val="none" w:sz="0" w:space="0" w:color="auto"/>
        <w:right w:val="none" w:sz="0" w:space="0" w:color="auto"/>
      </w:divBdr>
      <w:divsChild>
        <w:div w:id="160389819">
          <w:marLeft w:val="0"/>
          <w:marRight w:val="0"/>
          <w:marTop w:val="0"/>
          <w:marBottom w:val="0"/>
          <w:divBdr>
            <w:top w:val="none" w:sz="0" w:space="0" w:color="auto"/>
            <w:left w:val="none" w:sz="0" w:space="0" w:color="auto"/>
            <w:bottom w:val="none" w:sz="0" w:space="0" w:color="auto"/>
            <w:right w:val="none" w:sz="0" w:space="0" w:color="auto"/>
          </w:divBdr>
        </w:div>
        <w:div w:id="420025056">
          <w:marLeft w:val="0"/>
          <w:marRight w:val="0"/>
          <w:marTop w:val="0"/>
          <w:marBottom w:val="0"/>
          <w:divBdr>
            <w:top w:val="none" w:sz="0" w:space="0" w:color="auto"/>
            <w:left w:val="none" w:sz="0" w:space="0" w:color="auto"/>
            <w:bottom w:val="none" w:sz="0" w:space="0" w:color="auto"/>
            <w:right w:val="none" w:sz="0" w:space="0" w:color="auto"/>
          </w:divBdr>
          <w:divsChild>
            <w:div w:id="1462461028">
              <w:marLeft w:val="0"/>
              <w:marRight w:val="0"/>
              <w:marTop w:val="0"/>
              <w:marBottom w:val="0"/>
              <w:divBdr>
                <w:top w:val="none" w:sz="0" w:space="0" w:color="auto"/>
                <w:left w:val="none" w:sz="0" w:space="0" w:color="auto"/>
                <w:bottom w:val="none" w:sz="0" w:space="0" w:color="auto"/>
                <w:right w:val="none" w:sz="0" w:space="0" w:color="auto"/>
              </w:divBdr>
            </w:div>
            <w:div w:id="1378551906">
              <w:marLeft w:val="0"/>
              <w:marRight w:val="0"/>
              <w:marTop w:val="0"/>
              <w:marBottom w:val="0"/>
              <w:divBdr>
                <w:top w:val="none" w:sz="0" w:space="0" w:color="auto"/>
                <w:left w:val="none" w:sz="0" w:space="0" w:color="auto"/>
                <w:bottom w:val="none" w:sz="0" w:space="0" w:color="auto"/>
                <w:right w:val="none" w:sz="0" w:space="0" w:color="auto"/>
              </w:divBdr>
              <w:divsChild>
                <w:div w:id="2108652661">
                  <w:marLeft w:val="0"/>
                  <w:marRight w:val="0"/>
                  <w:marTop w:val="0"/>
                  <w:marBottom w:val="0"/>
                  <w:divBdr>
                    <w:top w:val="none" w:sz="0" w:space="0" w:color="auto"/>
                    <w:left w:val="none" w:sz="0" w:space="0" w:color="auto"/>
                    <w:bottom w:val="none" w:sz="0" w:space="0" w:color="auto"/>
                    <w:right w:val="none" w:sz="0" w:space="0" w:color="auto"/>
                  </w:divBdr>
                  <w:divsChild>
                    <w:div w:id="17033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2575">
      <w:bodyDiv w:val="1"/>
      <w:marLeft w:val="0"/>
      <w:marRight w:val="0"/>
      <w:marTop w:val="0"/>
      <w:marBottom w:val="0"/>
      <w:divBdr>
        <w:top w:val="none" w:sz="0" w:space="0" w:color="auto"/>
        <w:left w:val="none" w:sz="0" w:space="0" w:color="auto"/>
        <w:bottom w:val="none" w:sz="0" w:space="0" w:color="auto"/>
        <w:right w:val="none" w:sz="0" w:space="0" w:color="auto"/>
      </w:divBdr>
    </w:div>
    <w:div w:id="610013303">
      <w:bodyDiv w:val="1"/>
      <w:marLeft w:val="0"/>
      <w:marRight w:val="0"/>
      <w:marTop w:val="0"/>
      <w:marBottom w:val="0"/>
      <w:divBdr>
        <w:top w:val="none" w:sz="0" w:space="0" w:color="auto"/>
        <w:left w:val="none" w:sz="0" w:space="0" w:color="auto"/>
        <w:bottom w:val="none" w:sz="0" w:space="0" w:color="auto"/>
        <w:right w:val="none" w:sz="0" w:space="0" w:color="auto"/>
      </w:divBdr>
    </w:div>
    <w:div w:id="662005428">
      <w:bodyDiv w:val="1"/>
      <w:marLeft w:val="0"/>
      <w:marRight w:val="0"/>
      <w:marTop w:val="0"/>
      <w:marBottom w:val="0"/>
      <w:divBdr>
        <w:top w:val="none" w:sz="0" w:space="0" w:color="auto"/>
        <w:left w:val="none" w:sz="0" w:space="0" w:color="auto"/>
        <w:bottom w:val="none" w:sz="0" w:space="0" w:color="auto"/>
        <w:right w:val="none" w:sz="0" w:space="0" w:color="auto"/>
      </w:divBdr>
      <w:divsChild>
        <w:div w:id="1535536624">
          <w:marLeft w:val="0"/>
          <w:marRight w:val="0"/>
          <w:marTop w:val="0"/>
          <w:marBottom w:val="0"/>
          <w:divBdr>
            <w:top w:val="none" w:sz="0" w:space="0" w:color="auto"/>
            <w:left w:val="none" w:sz="0" w:space="0" w:color="auto"/>
            <w:bottom w:val="none" w:sz="0" w:space="0" w:color="auto"/>
            <w:right w:val="none" w:sz="0" w:space="0" w:color="auto"/>
          </w:divBdr>
        </w:div>
      </w:divsChild>
    </w:div>
    <w:div w:id="696807369">
      <w:bodyDiv w:val="1"/>
      <w:marLeft w:val="0"/>
      <w:marRight w:val="0"/>
      <w:marTop w:val="0"/>
      <w:marBottom w:val="0"/>
      <w:divBdr>
        <w:top w:val="none" w:sz="0" w:space="0" w:color="auto"/>
        <w:left w:val="none" w:sz="0" w:space="0" w:color="auto"/>
        <w:bottom w:val="none" w:sz="0" w:space="0" w:color="auto"/>
        <w:right w:val="none" w:sz="0" w:space="0" w:color="auto"/>
      </w:divBdr>
      <w:divsChild>
        <w:div w:id="173806291">
          <w:marLeft w:val="0"/>
          <w:marRight w:val="0"/>
          <w:marTop w:val="0"/>
          <w:marBottom w:val="0"/>
          <w:divBdr>
            <w:top w:val="none" w:sz="0" w:space="0" w:color="auto"/>
            <w:left w:val="none" w:sz="0" w:space="0" w:color="auto"/>
            <w:bottom w:val="none" w:sz="0" w:space="0" w:color="auto"/>
            <w:right w:val="none" w:sz="0" w:space="0" w:color="auto"/>
          </w:divBdr>
        </w:div>
        <w:div w:id="2092390110">
          <w:marLeft w:val="0"/>
          <w:marRight w:val="0"/>
          <w:marTop w:val="0"/>
          <w:marBottom w:val="0"/>
          <w:divBdr>
            <w:top w:val="none" w:sz="0" w:space="0" w:color="auto"/>
            <w:left w:val="none" w:sz="0" w:space="0" w:color="auto"/>
            <w:bottom w:val="none" w:sz="0" w:space="0" w:color="auto"/>
            <w:right w:val="none" w:sz="0" w:space="0" w:color="auto"/>
          </w:divBdr>
          <w:divsChild>
            <w:div w:id="8578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834">
      <w:bodyDiv w:val="1"/>
      <w:marLeft w:val="0"/>
      <w:marRight w:val="0"/>
      <w:marTop w:val="0"/>
      <w:marBottom w:val="0"/>
      <w:divBdr>
        <w:top w:val="none" w:sz="0" w:space="0" w:color="auto"/>
        <w:left w:val="none" w:sz="0" w:space="0" w:color="auto"/>
        <w:bottom w:val="none" w:sz="0" w:space="0" w:color="auto"/>
        <w:right w:val="none" w:sz="0" w:space="0" w:color="auto"/>
      </w:divBdr>
    </w:div>
    <w:div w:id="711997024">
      <w:bodyDiv w:val="1"/>
      <w:marLeft w:val="0"/>
      <w:marRight w:val="0"/>
      <w:marTop w:val="0"/>
      <w:marBottom w:val="0"/>
      <w:divBdr>
        <w:top w:val="none" w:sz="0" w:space="0" w:color="auto"/>
        <w:left w:val="none" w:sz="0" w:space="0" w:color="auto"/>
        <w:bottom w:val="none" w:sz="0" w:space="0" w:color="auto"/>
        <w:right w:val="none" w:sz="0" w:space="0" w:color="auto"/>
      </w:divBdr>
    </w:div>
    <w:div w:id="777329824">
      <w:bodyDiv w:val="1"/>
      <w:marLeft w:val="0"/>
      <w:marRight w:val="0"/>
      <w:marTop w:val="0"/>
      <w:marBottom w:val="0"/>
      <w:divBdr>
        <w:top w:val="none" w:sz="0" w:space="0" w:color="auto"/>
        <w:left w:val="none" w:sz="0" w:space="0" w:color="auto"/>
        <w:bottom w:val="none" w:sz="0" w:space="0" w:color="auto"/>
        <w:right w:val="none" w:sz="0" w:space="0" w:color="auto"/>
      </w:divBdr>
    </w:div>
    <w:div w:id="874780187">
      <w:bodyDiv w:val="1"/>
      <w:marLeft w:val="0"/>
      <w:marRight w:val="0"/>
      <w:marTop w:val="0"/>
      <w:marBottom w:val="0"/>
      <w:divBdr>
        <w:top w:val="none" w:sz="0" w:space="0" w:color="auto"/>
        <w:left w:val="none" w:sz="0" w:space="0" w:color="auto"/>
        <w:bottom w:val="none" w:sz="0" w:space="0" w:color="auto"/>
        <w:right w:val="none" w:sz="0" w:space="0" w:color="auto"/>
      </w:divBdr>
      <w:divsChild>
        <w:div w:id="1593128995">
          <w:marLeft w:val="0"/>
          <w:marRight w:val="0"/>
          <w:marTop w:val="0"/>
          <w:marBottom w:val="0"/>
          <w:divBdr>
            <w:top w:val="none" w:sz="0" w:space="0" w:color="auto"/>
            <w:left w:val="none" w:sz="0" w:space="0" w:color="auto"/>
            <w:bottom w:val="none" w:sz="0" w:space="0" w:color="auto"/>
            <w:right w:val="none" w:sz="0" w:space="0" w:color="auto"/>
          </w:divBdr>
          <w:divsChild>
            <w:div w:id="1143111364">
              <w:marLeft w:val="0"/>
              <w:marRight w:val="0"/>
              <w:marTop w:val="0"/>
              <w:marBottom w:val="0"/>
              <w:divBdr>
                <w:top w:val="none" w:sz="0" w:space="0" w:color="auto"/>
                <w:left w:val="none" w:sz="0" w:space="0" w:color="auto"/>
                <w:bottom w:val="none" w:sz="0" w:space="0" w:color="auto"/>
                <w:right w:val="none" w:sz="0" w:space="0" w:color="auto"/>
              </w:divBdr>
            </w:div>
            <w:div w:id="47462970">
              <w:marLeft w:val="0"/>
              <w:marRight w:val="0"/>
              <w:marTop w:val="0"/>
              <w:marBottom w:val="0"/>
              <w:divBdr>
                <w:top w:val="none" w:sz="0" w:space="0" w:color="auto"/>
                <w:left w:val="none" w:sz="0" w:space="0" w:color="auto"/>
                <w:bottom w:val="none" w:sz="0" w:space="0" w:color="auto"/>
                <w:right w:val="none" w:sz="0" w:space="0" w:color="auto"/>
              </w:divBdr>
              <w:divsChild>
                <w:div w:id="2002584136">
                  <w:marLeft w:val="0"/>
                  <w:marRight w:val="0"/>
                  <w:marTop w:val="0"/>
                  <w:marBottom w:val="0"/>
                  <w:divBdr>
                    <w:top w:val="none" w:sz="0" w:space="0" w:color="auto"/>
                    <w:left w:val="none" w:sz="0" w:space="0" w:color="auto"/>
                    <w:bottom w:val="none" w:sz="0" w:space="0" w:color="auto"/>
                    <w:right w:val="none" w:sz="0" w:space="0" w:color="auto"/>
                  </w:divBdr>
                  <w:divsChild>
                    <w:div w:id="488448172">
                      <w:marLeft w:val="0"/>
                      <w:marRight w:val="0"/>
                      <w:marTop w:val="0"/>
                      <w:marBottom w:val="0"/>
                      <w:divBdr>
                        <w:top w:val="none" w:sz="0" w:space="0" w:color="auto"/>
                        <w:left w:val="none" w:sz="0" w:space="0" w:color="auto"/>
                        <w:bottom w:val="none" w:sz="0" w:space="0" w:color="auto"/>
                        <w:right w:val="none" w:sz="0" w:space="0" w:color="auto"/>
                      </w:divBdr>
                      <w:divsChild>
                        <w:div w:id="792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9510">
      <w:bodyDiv w:val="1"/>
      <w:marLeft w:val="0"/>
      <w:marRight w:val="0"/>
      <w:marTop w:val="0"/>
      <w:marBottom w:val="0"/>
      <w:divBdr>
        <w:top w:val="none" w:sz="0" w:space="0" w:color="auto"/>
        <w:left w:val="none" w:sz="0" w:space="0" w:color="auto"/>
        <w:bottom w:val="none" w:sz="0" w:space="0" w:color="auto"/>
        <w:right w:val="none" w:sz="0" w:space="0" w:color="auto"/>
      </w:divBdr>
      <w:divsChild>
        <w:div w:id="1867600750">
          <w:marLeft w:val="0"/>
          <w:marRight w:val="0"/>
          <w:marTop w:val="0"/>
          <w:marBottom w:val="0"/>
          <w:divBdr>
            <w:top w:val="none" w:sz="0" w:space="0" w:color="auto"/>
            <w:left w:val="none" w:sz="0" w:space="0" w:color="auto"/>
            <w:bottom w:val="none" w:sz="0" w:space="0" w:color="auto"/>
            <w:right w:val="none" w:sz="0" w:space="0" w:color="auto"/>
          </w:divBdr>
          <w:divsChild>
            <w:div w:id="789711676">
              <w:marLeft w:val="0"/>
              <w:marRight w:val="0"/>
              <w:marTop w:val="0"/>
              <w:marBottom w:val="0"/>
              <w:divBdr>
                <w:top w:val="none" w:sz="0" w:space="0" w:color="auto"/>
                <w:left w:val="none" w:sz="0" w:space="0" w:color="auto"/>
                <w:bottom w:val="none" w:sz="0" w:space="0" w:color="auto"/>
                <w:right w:val="none" w:sz="0" w:space="0" w:color="auto"/>
              </w:divBdr>
            </w:div>
            <w:div w:id="931596171">
              <w:marLeft w:val="0"/>
              <w:marRight w:val="0"/>
              <w:marTop w:val="0"/>
              <w:marBottom w:val="0"/>
              <w:divBdr>
                <w:top w:val="none" w:sz="0" w:space="0" w:color="auto"/>
                <w:left w:val="none" w:sz="0" w:space="0" w:color="auto"/>
                <w:bottom w:val="none" w:sz="0" w:space="0" w:color="auto"/>
                <w:right w:val="none" w:sz="0" w:space="0" w:color="auto"/>
              </w:divBdr>
              <w:divsChild>
                <w:div w:id="1732072976">
                  <w:marLeft w:val="0"/>
                  <w:marRight w:val="0"/>
                  <w:marTop w:val="0"/>
                  <w:marBottom w:val="0"/>
                  <w:divBdr>
                    <w:top w:val="none" w:sz="0" w:space="0" w:color="auto"/>
                    <w:left w:val="none" w:sz="0" w:space="0" w:color="auto"/>
                    <w:bottom w:val="none" w:sz="0" w:space="0" w:color="auto"/>
                    <w:right w:val="none" w:sz="0" w:space="0" w:color="auto"/>
                  </w:divBdr>
                  <w:divsChild>
                    <w:div w:id="1601715420">
                      <w:marLeft w:val="0"/>
                      <w:marRight w:val="0"/>
                      <w:marTop w:val="0"/>
                      <w:marBottom w:val="0"/>
                      <w:divBdr>
                        <w:top w:val="none" w:sz="0" w:space="0" w:color="auto"/>
                        <w:left w:val="none" w:sz="0" w:space="0" w:color="auto"/>
                        <w:bottom w:val="none" w:sz="0" w:space="0" w:color="auto"/>
                        <w:right w:val="none" w:sz="0" w:space="0" w:color="auto"/>
                      </w:divBdr>
                      <w:divsChild>
                        <w:div w:id="4033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369484">
      <w:bodyDiv w:val="1"/>
      <w:marLeft w:val="0"/>
      <w:marRight w:val="0"/>
      <w:marTop w:val="0"/>
      <w:marBottom w:val="0"/>
      <w:divBdr>
        <w:top w:val="none" w:sz="0" w:space="0" w:color="auto"/>
        <w:left w:val="none" w:sz="0" w:space="0" w:color="auto"/>
        <w:bottom w:val="none" w:sz="0" w:space="0" w:color="auto"/>
        <w:right w:val="none" w:sz="0" w:space="0" w:color="auto"/>
      </w:divBdr>
      <w:divsChild>
        <w:div w:id="2126145358">
          <w:marLeft w:val="0"/>
          <w:marRight w:val="0"/>
          <w:marTop w:val="0"/>
          <w:marBottom w:val="0"/>
          <w:divBdr>
            <w:top w:val="none" w:sz="0" w:space="0" w:color="auto"/>
            <w:left w:val="none" w:sz="0" w:space="0" w:color="auto"/>
            <w:bottom w:val="none" w:sz="0" w:space="0" w:color="auto"/>
            <w:right w:val="none" w:sz="0" w:space="0" w:color="auto"/>
          </w:divBdr>
          <w:divsChild>
            <w:div w:id="15617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1608">
      <w:bodyDiv w:val="1"/>
      <w:marLeft w:val="0"/>
      <w:marRight w:val="0"/>
      <w:marTop w:val="0"/>
      <w:marBottom w:val="0"/>
      <w:divBdr>
        <w:top w:val="none" w:sz="0" w:space="0" w:color="auto"/>
        <w:left w:val="none" w:sz="0" w:space="0" w:color="auto"/>
        <w:bottom w:val="none" w:sz="0" w:space="0" w:color="auto"/>
        <w:right w:val="none" w:sz="0" w:space="0" w:color="auto"/>
      </w:divBdr>
    </w:div>
    <w:div w:id="1063523957">
      <w:bodyDiv w:val="1"/>
      <w:marLeft w:val="0"/>
      <w:marRight w:val="0"/>
      <w:marTop w:val="0"/>
      <w:marBottom w:val="0"/>
      <w:divBdr>
        <w:top w:val="none" w:sz="0" w:space="0" w:color="auto"/>
        <w:left w:val="none" w:sz="0" w:space="0" w:color="auto"/>
        <w:bottom w:val="none" w:sz="0" w:space="0" w:color="auto"/>
        <w:right w:val="none" w:sz="0" w:space="0" w:color="auto"/>
      </w:divBdr>
    </w:div>
    <w:div w:id="1151096310">
      <w:bodyDiv w:val="1"/>
      <w:marLeft w:val="0"/>
      <w:marRight w:val="0"/>
      <w:marTop w:val="0"/>
      <w:marBottom w:val="0"/>
      <w:divBdr>
        <w:top w:val="none" w:sz="0" w:space="0" w:color="auto"/>
        <w:left w:val="none" w:sz="0" w:space="0" w:color="auto"/>
        <w:bottom w:val="none" w:sz="0" w:space="0" w:color="auto"/>
        <w:right w:val="none" w:sz="0" w:space="0" w:color="auto"/>
      </w:divBdr>
      <w:divsChild>
        <w:div w:id="1395203406">
          <w:marLeft w:val="0"/>
          <w:marRight w:val="0"/>
          <w:marTop w:val="0"/>
          <w:marBottom w:val="0"/>
          <w:divBdr>
            <w:top w:val="none" w:sz="0" w:space="0" w:color="auto"/>
            <w:left w:val="none" w:sz="0" w:space="0" w:color="auto"/>
            <w:bottom w:val="none" w:sz="0" w:space="0" w:color="auto"/>
            <w:right w:val="none" w:sz="0" w:space="0" w:color="auto"/>
          </w:divBdr>
        </w:div>
      </w:divsChild>
    </w:div>
    <w:div w:id="1228305329">
      <w:bodyDiv w:val="1"/>
      <w:marLeft w:val="0"/>
      <w:marRight w:val="0"/>
      <w:marTop w:val="0"/>
      <w:marBottom w:val="0"/>
      <w:divBdr>
        <w:top w:val="none" w:sz="0" w:space="0" w:color="auto"/>
        <w:left w:val="none" w:sz="0" w:space="0" w:color="auto"/>
        <w:bottom w:val="none" w:sz="0" w:space="0" w:color="auto"/>
        <w:right w:val="none" w:sz="0" w:space="0" w:color="auto"/>
      </w:divBdr>
    </w:div>
    <w:div w:id="1304120827">
      <w:bodyDiv w:val="1"/>
      <w:marLeft w:val="0"/>
      <w:marRight w:val="0"/>
      <w:marTop w:val="0"/>
      <w:marBottom w:val="0"/>
      <w:divBdr>
        <w:top w:val="none" w:sz="0" w:space="0" w:color="auto"/>
        <w:left w:val="none" w:sz="0" w:space="0" w:color="auto"/>
        <w:bottom w:val="none" w:sz="0" w:space="0" w:color="auto"/>
        <w:right w:val="none" w:sz="0" w:space="0" w:color="auto"/>
      </w:divBdr>
    </w:div>
    <w:div w:id="1322585432">
      <w:bodyDiv w:val="1"/>
      <w:marLeft w:val="0"/>
      <w:marRight w:val="0"/>
      <w:marTop w:val="0"/>
      <w:marBottom w:val="0"/>
      <w:divBdr>
        <w:top w:val="none" w:sz="0" w:space="0" w:color="auto"/>
        <w:left w:val="none" w:sz="0" w:space="0" w:color="auto"/>
        <w:bottom w:val="none" w:sz="0" w:space="0" w:color="auto"/>
        <w:right w:val="none" w:sz="0" w:space="0" w:color="auto"/>
      </w:divBdr>
    </w:div>
    <w:div w:id="1402292233">
      <w:bodyDiv w:val="1"/>
      <w:marLeft w:val="0"/>
      <w:marRight w:val="0"/>
      <w:marTop w:val="0"/>
      <w:marBottom w:val="0"/>
      <w:divBdr>
        <w:top w:val="none" w:sz="0" w:space="0" w:color="auto"/>
        <w:left w:val="none" w:sz="0" w:space="0" w:color="auto"/>
        <w:bottom w:val="none" w:sz="0" w:space="0" w:color="auto"/>
        <w:right w:val="none" w:sz="0" w:space="0" w:color="auto"/>
      </w:divBdr>
    </w:div>
    <w:div w:id="1421952512">
      <w:bodyDiv w:val="1"/>
      <w:marLeft w:val="0"/>
      <w:marRight w:val="0"/>
      <w:marTop w:val="0"/>
      <w:marBottom w:val="0"/>
      <w:divBdr>
        <w:top w:val="none" w:sz="0" w:space="0" w:color="auto"/>
        <w:left w:val="none" w:sz="0" w:space="0" w:color="auto"/>
        <w:bottom w:val="none" w:sz="0" w:space="0" w:color="auto"/>
        <w:right w:val="none" w:sz="0" w:space="0" w:color="auto"/>
      </w:divBdr>
    </w:div>
    <w:div w:id="1439328950">
      <w:bodyDiv w:val="1"/>
      <w:marLeft w:val="0"/>
      <w:marRight w:val="0"/>
      <w:marTop w:val="0"/>
      <w:marBottom w:val="0"/>
      <w:divBdr>
        <w:top w:val="none" w:sz="0" w:space="0" w:color="auto"/>
        <w:left w:val="none" w:sz="0" w:space="0" w:color="auto"/>
        <w:bottom w:val="none" w:sz="0" w:space="0" w:color="auto"/>
        <w:right w:val="none" w:sz="0" w:space="0" w:color="auto"/>
      </w:divBdr>
    </w:div>
    <w:div w:id="1440754939">
      <w:bodyDiv w:val="1"/>
      <w:marLeft w:val="0"/>
      <w:marRight w:val="0"/>
      <w:marTop w:val="0"/>
      <w:marBottom w:val="0"/>
      <w:divBdr>
        <w:top w:val="none" w:sz="0" w:space="0" w:color="auto"/>
        <w:left w:val="none" w:sz="0" w:space="0" w:color="auto"/>
        <w:bottom w:val="none" w:sz="0" w:space="0" w:color="auto"/>
        <w:right w:val="none" w:sz="0" w:space="0" w:color="auto"/>
      </w:divBdr>
    </w:div>
    <w:div w:id="1458261034">
      <w:bodyDiv w:val="1"/>
      <w:marLeft w:val="0"/>
      <w:marRight w:val="0"/>
      <w:marTop w:val="0"/>
      <w:marBottom w:val="0"/>
      <w:divBdr>
        <w:top w:val="none" w:sz="0" w:space="0" w:color="auto"/>
        <w:left w:val="none" w:sz="0" w:space="0" w:color="auto"/>
        <w:bottom w:val="none" w:sz="0" w:space="0" w:color="auto"/>
        <w:right w:val="none" w:sz="0" w:space="0" w:color="auto"/>
      </w:divBdr>
    </w:div>
    <w:div w:id="1507163746">
      <w:bodyDiv w:val="1"/>
      <w:marLeft w:val="0"/>
      <w:marRight w:val="0"/>
      <w:marTop w:val="0"/>
      <w:marBottom w:val="0"/>
      <w:divBdr>
        <w:top w:val="none" w:sz="0" w:space="0" w:color="auto"/>
        <w:left w:val="none" w:sz="0" w:space="0" w:color="auto"/>
        <w:bottom w:val="none" w:sz="0" w:space="0" w:color="auto"/>
        <w:right w:val="none" w:sz="0" w:space="0" w:color="auto"/>
      </w:divBdr>
    </w:div>
    <w:div w:id="1523863218">
      <w:bodyDiv w:val="1"/>
      <w:marLeft w:val="0"/>
      <w:marRight w:val="0"/>
      <w:marTop w:val="0"/>
      <w:marBottom w:val="0"/>
      <w:divBdr>
        <w:top w:val="none" w:sz="0" w:space="0" w:color="auto"/>
        <w:left w:val="none" w:sz="0" w:space="0" w:color="auto"/>
        <w:bottom w:val="none" w:sz="0" w:space="0" w:color="auto"/>
        <w:right w:val="none" w:sz="0" w:space="0" w:color="auto"/>
      </w:divBdr>
    </w:div>
    <w:div w:id="1525174389">
      <w:bodyDiv w:val="1"/>
      <w:marLeft w:val="0"/>
      <w:marRight w:val="0"/>
      <w:marTop w:val="0"/>
      <w:marBottom w:val="0"/>
      <w:divBdr>
        <w:top w:val="none" w:sz="0" w:space="0" w:color="auto"/>
        <w:left w:val="none" w:sz="0" w:space="0" w:color="auto"/>
        <w:bottom w:val="none" w:sz="0" w:space="0" w:color="auto"/>
        <w:right w:val="none" w:sz="0" w:space="0" w:color="auto"/>
      </w:divBdr>
    </w:div>
    <w:div w:id="1542673849">
      <w:bodyDiv w:val="1"/>
      <w:marLeft w:val="0"/>
      <w:marRight w:val="0"/>
      <w:marTop w:val="0"/>
      <w:marBottom w:val="0"/>
      <w:divBdr>
        <w:top w:val="none" w:sz="0" w:space="0" w:color="auto"/>
        <w:left w:val="none" w:sz="0" w:space="0" w:color="auto"/>
        <w:bottom w:val="none" w:sz="0" w:space="0" w:color="auto"/>
        <w:right w:val="none" w:sz="0" w:space="0" w:color="auto"/>
      </w:divBdr>
    </w:div>
    <w:div w:id="1559047994">
      <w:bodyDiv w:val="1"/>
      <w:marLeft w:val="0"/>
      <w:marRight w:val="0"/>
      <w:marTop w:val="0"/>
      <w:marBottom w:val="0"/>
      <w:divBdr>
        <w:top w:val="none" w:sz="0" w:space="0" w:color="auto"/>
        <w:left w:val="none" w:sz="0" w:space="0" w:color="auto"/>
        <w:bottom w:val="none" w:sz="0" w:space="0" w:color="auto"/>
        <w:right w:val="none" w:sz="0" w:space="0" w:color="auto"/>
      </w:divBdr>
    </w:div>
    <w:div w:id="1571840602">
      <w:bodyDiv w:val="1"/>
      <w:marLeft w:val="0"/>
      <w:marRight w:val="0"/>
      <w:marTop w:val="0"/>
      <w:marBottom w:val="0"/>
      <w:divBdr>
        <w:top w:val="none" w:sz="0" w:space="0" w:color="auto"/>
        <w:left w:val="none" w:sz="0" w:space="0" w:color="auto"/>
        <w:bottom w:val="none" w:sz="0" w:space="0" w:color="auto"/>
        <w:right w:val="none" w:sz="0" w:space="0" w:color="auto"/>
      </w:divBdr>
      <w:divsChild>
        <w:div w:id="210849561">
          <w:marLeft w:val="0"/>
          <w:marRight w:val="0"/>
          <w:marTop w:val="0"/>
          <w:marBottom w:val="0"/>
          <w:divBdr>
            <w:top w:val="none" w:sz="0" w:space="0" w:color="auto"/>
            <w:left w:val="none" w:sz="0" w:space="0" w:color="auto"/>
            <w:bottom w:val="none" w:sz="0" w:space="0" w:color="auto"/>
            <w:right w:val="none" w:sz="0" w:space="0" w:color="auto"/>
          </w:divBdr>
        </w:div>
        <w:div w:id="1539857694">
          <w:marLeft w:val="0"/>
          <w:marRight w:val="0"/>
          <w:marTop w:val="0"/>
          <w:marBottom w:val="0"/>
          <w:divBdr>
            <w:top w:val="none" w:sz="0" w:space="0" w:color="auto"/>
            <w:left w:val="none" w:sz="0" w:space="0" w:color="auto"/>
            <w:bottom w:val="none" w:sz="0" w:space="0" w:color="auto"/>
            <w:right w:val="none" w:sz="0" w:space="0" w:color="auto"/>
          </w:divBdr>
          <w:divsChild>
            <w:div w:id="364015900">
              <w:marLeft w:val="0"/>
              <w:marRight w:val="0"/>
              <w:marTop w:val="0"/>
              <w:marBottom w:val="0"/>
              <w:divBdr>
                <w:top w:val="none" w:sz="0" w:space="0" w:color="auto"/>
                <w:left w:val="none" w:sz="0" w:space="0" w:color="auto"/>
                <w:bottom w:val="none" w:sz="0" w:space="0" w:color="auto"/>
                <w:right w:val="none" w:sz="0" w:space="0" w:color="auto"/>
              </w:divBdr>
            </w:div>
            <w:div w:id="1271081816">
              <w:marLeft w:val="0"/>
              <w:marRight w:val="0"/>
              <w:marTop w:val="0"/>
              <w:marBottom w:val="0"/>
              <w:divBdr>
                <w:top w:val="none" w:sz="0" w:space="0" w:color="auto"/>
                <w:left w:val="none" w:sz="0" w:space="0" w:color="auto"/>
                <w:bottom w:val="none" w:sz="0" w:space="0" w:color="auto"/>
                <w:right w:val="none" w:sz="0" w:space="0" w:color="auto"/>
              </w:divBdr>
              <w:divsChild>
                <w:div w:id="2070182425">
                  <w:marLeft w:val="0"/>
                  <w:marRight w:val="0"/>
                  <w:marTop w:val="0"/>
                  <w:marBottom w:val="0"/>
                  <w:divBdr>
                    <w:top w:val="none" w:sz="0" w:space="0" w:color="auto"/>
                    <w:left w:val="none" w:sz="0" w:space="0" w:color="auto"/>
                    <w:bottom w:val="none" w:sz="0" w:space="0" w:color="auto"/>
                    <w:right w:val="none" w:sz="0" w:space="0" w:color="auto"/>
                  </w:divBdr>
                  <w:divsChild>
                    <w:div w:id="18244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646">
      <w:bodyDiv w:val="1"/>
      <w:marLeft w:val="0"/>
      <w:marRight w:val="0"/>
      <w:marTop w:val="0"/>
      <w:marBottom w:val="0"/>
      <w:divBdr>
        <w:top w:val="none" w:sz="0" w:space="0" w:color="auto"/>
        <w:left w:val="none" w:sz="0" w:space="0" w:color="auto"/>
        <w:bottom w:val="none" w:sz="0" w:space="0" w:color="auto"/>
        <w:right w:val="none" w:sz="0" w:space="0" w:color="auto"/>
      </w:divBdr>
      <w:divsChild>
        <w:div w:id="363405523">
          <w:marLeft w:val="0"/>
          <w:marRight w:val="0"/>
          <w:marTop w:val="0"/>
          <w:marBottom w:val="0"/>
          <w:divBdr>
            <w:top w:val="none" w:sz="0" w:space="0" w:color="auto"/>
            <w:left w:val="none" w:sz="0" w:space="0" w:color="auto"/>
            <w:bottom w:val="none" w:sz="0" w:space="0" w:color="auto"/>
            <w:right w:val="none" w:sz="0" w:space="0" w:color="auto"/>
          </w:divBdr>
          <w:divsChild>
            <w:div w:id="545416469">
              <w:marLeft w:val="0"/>
              <w:marRight w:val="0"/>
              <w:marTop w:val="0"/>
              <w:marBottom w:val="0"/>
              <w:divBdr>
                <w:top w:val="none" w:sz="0" w:space="0" w:color="auto"/>
                <w:left w:val="none" w:sz="0" w:space="0" w:color="auto"/>
                <w:bottom w:val="none" w:sz="0" w:space="0" w:color="auto"/>
                <w:right w:val="none" w:sz="0" w:space="0" w:color="auto"/>
              </w:divBdr>
            </w:div>
            <w:div w:id="188835187">
              <w:marLeft w:val="0"/>
              <w:marRight w:val="0"/>
              <w:marTop w:val="0"/>
              <w:marBottom w:val="0"/>
              <w:divBdr>
                <w:top w:val="none" w:sz="0" w:space="0" w:color="auto"/>
                <w:left w:val="none" w:sz="0" w:space="0" w:color="auto"/>
                <w:bottom w:val="none" w:sz="0" w:space="0" w:color="auto"/>
                <w:right w:val="none" w:sz="0" w:space="0" w:color="auto"/>
              </w:divBdr>
              <w:divsChild>
                <w:div w:id="959148671">
                  <w:marLeft w:val="0"/>
                  <w:marRight w:val="0"/>
                  <w:marTop w:val="0"/>
                  <w:marBottom w:val="0"/>
                  <w:divBdr>
                    <w:top w:val="none" w:sz="0" w:space="0" w:color="auto"/>
                    <w:left w:val="none" w:sz="0" w:space="0" w:color="auto"/>
                    <w:bottom w:val="none" w:sz="0" w:space="0" w:color="auto"/>
                    <w:right w:val="none" w:sz="0" w:space="0" w:color="auto"/>
                  </w:divBdr>
                  <w:divsChild>
                    <w:div w:id="1833327570">
                      <w:marLeft w:val="0"/>
                      <w:marRight w:val="0"/>
                      <w:marTop w:val="0"/>
                      <w:marBottom w:val="0"/>
                      <w:divBdr>
                        <w:top w:val="none" w:sz="0" w:space="0" w:color="auto"/>
                        <w:left w:val="none" w:sz="0" w:space="0" w:color="auto"/>
                        <w:bottom w:val="none" w:sz="0" w:space="0" w:color="auto"/>
                        <w:right w:val="none" w:sz="0" w:space="0" w:color="auto"/>
                      </w:divBdr>
                      <w:divsChild>
                        <w:div w:id="1667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107366">
      <w:bodyDiv w:val="1"/>
      <w:marLeft w:val="0"/>
      <w:marRight w:val="0"/>
      <w:marTop w:val="0"/>
      <w:marBottom w:val="0"/>
      <w:divBdr>
        <w:top w:val="none" w:sz="0" w:space="0" w:color="auto"/>
        <w:left w:val="none" w:sz="0" w:space="0" w:color="auto"/>
        <w:bottom w:val="none" w:sz="0" w:space="0" w:color="auto"/>
        <w:right w:val="none" w:sz="0" w:space="0" w:color="auto"/>
      </w:divBdr>
      <w:divsChild>
        <w:div w:id="1316254811">
          <w:marLeft w:val="0"/>
          <w:marRight w:val="0"/>
          <w:marTop w:val="0"/>
          <w:marBottom w:val="0"/>
          <w:divBdr>
            <w:top w:val="none" w:sz="0" w:space="0" w:color="auto"/>
            <w:left w:val="none" w:sz="0" w:space="0" w:color="auto"/>
            <w:bottom w:val="none" w:sz="0" w:space="0" w:color="auto"/>
            <w:right w:val="none" w:sz="0" w:space="0" w:color="auto"/>
          </w:divBdr>
        </w:div>
      </w:divsChild>
    </w:div>
    <w:div w:id="1764453368">
      <w:bodyDiv w:val="1"/>
      <w:marLeft w:val="0"/>
      <w:marRight w:val="0"/>
      <w:marTop w:val="0"/>
      <w:marBottom w:val="0"/>
      <w:divBdr>
        <w:top w:val="none" w:sz="0" w:space="0" w:color="auto"/>
        <w:left w:val="none" w:sz="0" w:space="0" w:color="auto"/>
        <w:bottom w:val="none" w:sz="0" w:space="0" w:color="auto"/>
        <w:right w:val="none" w:sz="0" w:space="0" w:color="auto"/>
      </w:divBdr>
    </w:div>
    <w:div w:id="1836266040">
      <w:bodyDiv w:val="1"/>
      <w:marLeft w:val="0"/>
      <w:marRight w:val="0"/>
      <w:marTop w:val="0"/>
      <w:marBottom w:val="0"/>
      <w:divBdr>
        <w:top w:val="none" w:sz="0" w:space="0" w:color="auto"/>
        <w:left w:val="none" w:sz="0" w:space="0" w:color="auto"/>
        <w:bottom w:val="none" w:sz="0" w:space="0" w:color="auto"/>
        <w:right w:val="none" w:sz="0" w:space="0" w:color="auto"/>
      </w:divBdr>
      <w:divsChild>
        <w:div w:id="679432804">
          <w:marLeft w:val="0"/>
          <w:marRight w:val="0"/>
          <w:marTop w:val="0"/>
          <w:marBottom w:val="0"/>
          <w:divBdr>
            <w:top w:val="none" w:sz="0" w:space="0" w:color="auto"/>
            <w:left w:val="none" w:sz="0" w:space="0" w:color="auto"/>
            <w:bottom w:val="none" w:sz="0" w:space="0" w:color="auto"/>
            <w:right w:val="none" w:sz="0" w:space="0" w:color="auto"/>
          </w:divBdr>
          <w:divsChild>
            <w:div w:id="675496208">
              <w:marLeft w:val="0"/>
              <w:marRight w:val="0"/>
              <w:marTop w:val="0"/>
              <w:marBottom w:val="0"/>
              <w:divBdr>
                <w:top w:val="none" w:sz="0" w:space="0" w:color="auto"/>
                <w:left w:val="none" w:sz="0" w:space="0" w:color="auto"/>
                <w:bottom w:val="none" w:sz="0" w:space="0" w:color="auto"/>
                <w:right w:val="none" w:sz="0" w:space="0" w:color="auto"/>
              </w:divBdr>
              <w:divsChild>
                <w:div w:id="5815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3842">
      <w:bodyDiv w:val="1"/>
      <w:marLeft w:val="0"/>
      <w:marRight w:val="0"/>
      <w:marTop w:val="0"/>
      <w:marBottom w:val="0"/>
      <w:divBdr>
        <w:top w:val="none" w:sz="0" w:space="0" w:color="auto"/>
        <w:left w:val="none" w:sz="0" w:space="0" w:color="auto"/>
        <w:bottom w:val="none" w:sz="0" w:space="0" w:color="auto"/>
        <w:right w:val="none" w:sz="0" w:space="0" w:color="auto"/>
      </w:divBdr>
    </w:div>
    <w:div w:id="1860655776">
      <w:bodyDiv w:val="1"/>
      <w:marLeft w:val="0"/>
      <w:marRight w:val="0"/>
      <w:marTop w:val="0"/>
      <w:marBottom w:val="0"/>
      <w:divBdr>
        <w:top w:val="none" w:sz="0" w:space="0" w:color="auto"/>
        <w:left w:val="none" w:sz="0" w:space="0" w:color="auto"/>
        <w:bottom w:val="none" w:sz="0" w:space="0" w:color="auto"/>
        <w:right w:val="none" w:sz="0" w:space="0" w:color="auto"/>
      </w:divBdr>
    </w:div>
    <w:div w:id="1895122749">
      <w:bodyDiv w:val="1"/>
      <w:marLeft w:val="0"/>
      <w:marRight w:val="0"/>
      <w:marTop w:val="0"/>
      <w:marBottom w:val="0"/>
      <w:divBdr>
        <w:top w:val="none" w:sz="0" w:space="0" w:color="auto"/>
        <w:left w:val="none" w:sz="0" w:space="0" w:color="auto"/>
        <w:bottom w:val="none" w:sz="0" w:space="0" w:color="auto"/>
        <w:right w:val="none" w:sz="0" w:space="0" w:color="auto"/>
      </w:divBdr>
    </w:div>
    <w:div w:id="1937052746">
      <w:bodyDiv w:val="1"/>
      <w:marLeft w:val="0"/>
      <w:marRight w:val="0"/>
      <w:marTop w:val="0"/>
      <w:marBottom w:val="0"/>
      <w:divBdr>
        <w:top w:val="none" w:sz="0" w:space="0" w:color="auto"/>
        <w:left w:val="none" w:sz="0" w:space="0" w:color="auto"/>
        <w:bottom w:val="none" w:sz="0" w:space="0" w:color="auto"/>
        <w:right w:val="none" w:sz="0" w:space="0" w:color="auto"/>
      </w:divBdr>
    </w:div>
    <w:div w:id="1947420823">
      <w:bodyDiv w:val="1"/>
      <w:marLeft w:val="0"/>
      <w:marRight w:val="0"/>
      <w:marTop w:val="0"/>
      <w:marBottom w:val="0"/>
      <w:divBdr>
        <w:top w:val="none" w:sz="0" w:space="0" w:color="auto"/>
        <w:left w:val="none" w:sz="0" w:space="0" w:color="auto"/>
        <w:bottom w:val="none" w:sz="0" w:space="0" w:color="auto"/>
        <w:right w:val="none" w:sz="0" w:space="0" w:color="auto"/>
      </w:divBdr>
    </w:div>
    <w:div w:id="2034570537">
      <w:bodyDiv w:val="1"/>
      <w:marLeft w:val="0"/>
      <w:marRight w:val="0"/>
      <w:marTop w:val="0"/>
      <w:marBottom w:val="0"/>
      <w:divBdr>
        <w:top w:val="none" w:sz="0" w:space="0" w:color="auto"/>
        <w:left w:val="none" w:sz="0" w:space="0" w:color="auto"/>
        <w:bottom w:val="none" w:sz="0" w:space="0" w:color="auto"/>
        <w:right w:val="none" w:sz="0" w:space="0" w:color="auto"/>
      </w:divBdr>
      <w:divsChild>
        <w:div w:id="683896399">
          <w:marLeft w:val="0"/>
          <w:marRight w:val="0"/>
          <w:marTop w:val="0"/>
          <w:marBottom w:val="0"/>
          <w:divBdr>
            <w:top w:val="none" w:sz="0" w:space="0" w:color="auto"/>
            <w:left w:val="none" w:sz="0" w:space="0" w:color="auto"/>
            <w:bottom w:val="none" w:sz="0" w:space="0" w:color="auto"/>
            <w:right w:val="none" w:sz="0" w:space="0" w:color="auto"/>
          </w:divBdr>
        </w:div>
        <w:div w:id="1257443189">
          <w:marLeft w:val="0"/>
          <w:marRight w:val="0"/>
          <w:marTop w:val="0"/>
          <w:marBottom w:val="0"/>
          <w:divBdr>
            <w:top w:val="none" w:sz="0" w:space="0" w:color="auto"/>
            <w:left w:val="none" w:sz="0" w:space="0" w:color="auto"/>
            <w:bottom w:val="none" w:sz="0" w:space="0" w:color="auto"/>
            <w:right w:val="none" w:sz="0" w:space="0" w:color="auto"/>
          </w:divBdr>
          <w:divsChild>
            <w:div w:id="1960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visperkinsplc.co.uk/about-us/" TargetMode="External"/><Relationship Id="rId18" Type="http://schemas.openxmlformats.org/officeDocument/2006/relationships/hyperlink" Target="http://www.sustainablebuildingsolutions.co.uk/solutions/new-build" TargetMode="External"/><Relationship Id="rId26" Type="http://schemas.openxmlformats.org/officeDocument/2006/relationships/hyperlink" Target="http://www.saint-gobain.co.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ustainablebuildingsolutions.co.uk/products" TargetMode="External"/><Relationship Id="rId34" Type="http://schemas.openxmlformats.org/officeDocument/2006/relationships/hyperlink" Target="http://www.kingfisher.com/netpositive/index.asp?pageid=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ustainablebuildingsolutions.co.uk/" TargetMode="External"/><Relationship Id="rId25" Type="http://schemas.openxmlformats.org/officeDocument/2006/relationships/hyperlink" Target="http://www.sustainablebuildingsolutions.co.uk/contacts/new" TargetMode="External"/><Relationship Id="rId33" Type="http://schemas.openxmlformats.org/officeDocument/2006/relationships/hyperlink" Target="http://www.diy.com/help-advice/1.hroot" TargetMode="External"/><Relationship Id="rId38"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diy.com/" TargetMode="External"/><Relationship Id="rId20" Type="http://schemas.openxmlformats.org/officeDocument/2006/relationships/hyperlink" Target="http://www.sustainablebuildingsolutions.co.uk/the-green-deal" TargetMode="External"/><Relationship Id="rId29" Type="http://schemas.openxmlformats.org/officeDocument/2006/relationships/hyperlink" Target="http://www.saint-gobain.co.uk/train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ustainablebuildingsolutions.co.uk/resources" TargetMode="External"/><Relationship Id="rId32" Type="http://schemas.openxmlformats.org/officeDocument/2006/relationships/hyperlink" Target="http://www.diy.com/one-planet-home/" TargetMode="Externa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ftonmerchantinggb.co.uk/" TargetMode="External"/><Relationship Id="rId23" Type="http://schemas.openxmlformats.org/officeDocument/2006/relationships/hyperlink" Target="http://www.sustainablebuildingsolutions.co.uk/services" TargetMode="External"/><Relationship Id="rId28" Type="http://schemas.openxmlformats.org/officeDocument/2006/relationships/hyperlink" Target="http://www.saint-gobain.co.uk/innovation-centre/" TargetMode="External"/><Relationship Id="rId36"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hyperlink" Target="http://www.sustainablebuildingsolutions.co.uk/solutions/retrofit" TargetMode="External"/><Relationship Id="rId31" Type="http://schemas.openxmlformats.org/officeDocument/2006/relationships/hyperlink" Target="http://www.graftonmerchantinggb.co.uk/gogreen/index.a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aint-gobain.co.uk/" TargetMode="External"/><Relationship Id="rId22" Type="http://schemas.openxmlformats.org/officeDocument/2006/relationships/hyperlink" Target="http://www.sustainablebuildingsolutions.co.uk/training" TargetMode="External"/><Relationship Id="rId27" Type="http://schemas.openxmlformats.org/officeDocument/2006/relationships/hyperlink" Target="http://www.saint-gobain.co.uk/products-solutions/" TargetMode="External"/><Relationship Id="rId30" Type="http://schemas.openxmlformats.org/officeDocument/2006/relationships/hyperlink" Target="http://www.saint-gobain.co.uk/info-contacts/" TargetMode="External"/><Relationship Id="rId35"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E039-9D2A-4FBF-8F74-522526CE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5416</Words>
  <Characters>30876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ci1jrb</dc:creator>
  <cp:lastModifiedBy>Newton, Andy</cp:lastModifiedBy>
  <cp:revision>2</cp:revision>
  <dcterms:created xsi:type="dcterms:W3CDTF">2015-08-06T07:31:00Z</dcterms:created>
  <dcterms:modified xsi:type="dcterms:W3CDTF">2015-08-06T07:31:00Z</dcterms:modified>
</cp:coreProperties>
</file>